
<file path=[Content_Types].xml><?xml version="1.0" encoding="utf-8"?>
<Types xmlns="http://schemas.openxmlformats.org/package/2006/content-types">
  <Default Extension="xml" ContentType="application/xml"/>
  <Default Extension="tiff" ContentType="image/tif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520E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23D5F4D">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325E220">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07.060 </w:t>
            </w:r>
            <w:r>
              <w:rPr>
                <w:rFonts w:ascii="黑体" w:hAnsi="黑体" w:eastAsia="黑体"/>
                <w:sz w:val="21"/>
                <w:szCs w:val="21"/>
              </w:rPr>
              <w:fldChar w:fldCharType="end"/>
            </w:r>
            <w:bookmarkEnd w:id="0"/>
          </w:p>
        </w:tc>
      </w:tr>
      <w:tr w14:paraId="3A63F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28F8E2F">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8D6A706">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A 47</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4A38A7A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B1CBDE4">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78CE6FAD">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622C3ED1">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747C5027">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33F12B4">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0160F4B">
      <w:pPr>
        <w:pStyle w:val="50"/>
        <w:framePr w:w="9639" w:h="6976" w:hRule="exact" w:hSpace="0" w:vSpace="0" w:wrap="around" w:hAnchor="page" w:y="6408"/>
        <w:jc w:val="center"/>
        <w:rPr>
          <w:rFonts w:ascii="黑体" w:hAnsi="黑体" w:eastAsia="黑体"/>
          <w:b w:val="0"/>
          <w:bCs w:val="0"/>
          <w:w w:val="100"/>
        </w:rPr>
      </w:pPr>
    </w:p>
    <w:p w14:paraId="6511B670">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湖泊蓝藻水华环境气象影响评估技术导则</w:t>
      </w:r>
      <w:r>
        <w:fldChar w:fldCharType="end"/>
      </w:r>
      <w:bookmarkEnd w:id="9"/>
    </w:p>
    <w:p w14:paraId="436CA733">
      <w:pPr>
        <w:framePr w:w="9639" w:h="6974" w:hRule="exact" w:wrap="around" w:vAnchor="page" w:hAnchor="page" w:x="1419" w:y="6408" w:anchorLock="1"/>
        <w:ind w:left="-1418"/>
      </w:pPr>
    </w:p>
    <w:p w14:paraId="50325EBB">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Technical </w:t>
      </w:r>
      <w:r>
        <w:rPr>
          <w:rFonts w:hint="eastAsia" w:ascii="黑体" w:hAnsi="黑体" w:eastAsia="黑体"/>
          <w:szCs w:val="28"/>
        </w:rPr>
        <w:t>g</w:t>
      </w:r>
      <w:r>
        <w:rPr>
          <w:rFonts w:ascii="黑体" w:hAnsi="黑体" w:eastAsia="黑体"/>
          <w:szCs w:val="28"/>
        </w:rPr>
        <w:t>uidelines for environment meteorological impact assessment on cyanobacteria bloom in lakes     </w:t>
      </w:r>
      <w:r>
        <w:rPr>
          <w:rFonts w:ascii="黑体" w:hAnsi="黑体" w:eastAsia="黑体"/>
          <w:szCs w:val="28"/>
        </w:rPr>
        <w:fldChar w:fldCharType="end"/>
      </w:r>
      <w:bookmarkEnd w:id="10"/>
    </w:p>
    <w:p w14:paraId="511E649D">
      <w:pPr>
        <w:framePr w:w="9639" w:h="6974" w:hRule="exact" w:wrap="around" w:vAnchor="page" w:hAnchor="page" w:x="1419" w:y="6408" w:anchorLock="1"/>
        <w:spacing w:line="760" w:lineRule="exact"/>
        <w:ind w:left="-1418"/>
      </w:pPr>
    </w:p>
    <w:p w14:paraId="1C516973">
      <w:pPr>
        <w:pStyle w:val="125"/>
        <w:framePr w:w="9639" w:h="6974" w:hRule="exact" w:wrap="around" w:vAnchor="page" w:hAnchor="page" w:x="1419" w:y="6408" w:anchorLock="1"/>
        <w:textAlignment w:val="bottom"/>
        <w:rPr>
          <w:rFonts w:eastAsia="黑体"/>
          <w:szCs w:val="28"/>
        </w:rPr>
      </w:pPr>
    </w:p>
    <w:p w14:paraId="619D36F5">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733BDC5">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59F85B60">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4E1D3D11">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3723D253">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267E6E80">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0CEA667">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2E27BA5">
      <w:pPr>
        <w:pStyle w:val="91"/>
        <w:spacing w:after="468"/>
      </w:pPr>
      <w:bookmarkStart w:id="21" w:name="BookMark1"/>
      <w:bookmarkStart w:id="22" w:name="_Toc176942290"/>
      <w:bookmarkStart w:id="23" w:name="_Toc176941205"/>
      <w:bookmarkStart w:id="24" w:name="_Toc176940609"/>
      <w:bookmarkStart w:id="25" w:name="_Toc176942017"/>
      <w:r>
        <w:rPr>
          <w:rFonts w:hint="eastAsia"/>
          <w:spacing w:val="320"/>
        </w:rPr>
        <w:t>目</w:t>
      </w:r>
      <w:r>
        <w:rPr>
          <w:rFonts w:hint="eastAsia"/>
        </w:rPr>
        <w:t>次</w:t>
      </w:r>
    </w:p>
    <w:p w14:paraId="023E98BB">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"_Toc177716121" </w:instrText>
      </w:r>
      <w:r>
        <w:fldChar w:fldCharType="separate"/>
      </w:r>
      <w:r>
        <w:rPr>
          <w:rStyle w:val="32"/>
          <w:spacing w:val="320"/>
        </w:rPr>
        <w:t>前</w:t>
      </w:r>
      <w:r>
        <w:rPr>
          <w:rStyle w:val="32"/>
        </w:rPr>
        <w:t>言</w:t>
      </w:r>
      <w:r>
        <w:tab/>
      </w:r>
      <w:r>
        <w:fldChar w:fldCharType="begin"/>
      </w:r>
      <w:r>
        <w:instrText xml:space="preserve"> PAGEREF _Toc177716121 \h </w:instrText>
      </w:r>
      <w:r>
        <w:fldChar w:fldCharType="separate"/>
      </w:r>
      <w:r>
        <w:t>II</w:t>
      </w:r>
      <w:r>
        <w:fldChar w:fldCharType="end"/>
      </w:r>
      <w:r>
        <w:fldChar w:fldCharType="end"/>
      </w:r>
    </w:p>
    <w:p w14:paraId="52F02A66">
      <w:pPr>
        <w:pStyle w:val="19"/>
        <w:tabs>
          <w:tab w:val="right" w:leader="dot" w:pos="9344"/>
        </w:tabs>
        <w:rPr>
          <w:rFonts w:asciiTheme="minorHAnsi" w:hAnsiTheme="minorHAnsi" w:eastAsiaTheme="minorEastAsia" w:cstheme="minorBidi"/>
          <w:szCs w:val="22"/>
        </w:rPr>
      </w:pPr>
      <w:r>
        <w:fldChar w:fldCharType="begin"/>
      </w:r>
      <w:r>
        <w:instrText xml:space="preserve"> HYPERLINK \l "_Toc177716122" </w:instrText>
      </w:r>
      <w:r>
        <w:fldChar w:fldCharType="separate"/>
      </w:r>
      <w:r>
        <w:rPr>
          <w:rStyle w:val="32"/>
        </w:rPr>
        <w:t>1 范围</w:t>
      </w:r>
      <w:r>
        <w:tab/>
      </w:r>
      <w:r>
        <w:fldChar w:fldCharType="begin"/>
      </w:r>
      <w:r>
        <w:instrText xml:space="preserve"> PAGEREF _Toc177716122 \h </w:instrText>
      </w:r>
      <w:r>
        <w:fldChar w:fldCharType="separate"/>
      </w:r>
      <w:r>
        <w:t>1</w:t>
      </w:r>
      <w:r>
        <w:fldChar w:fldCharType="end"/>
      </w:r>
      <w:r>
        <w:fldChar w:fldCharType="end"/>
      </w:r>
    </w:p>
    <w:p w14:paraId="42D79054">
      <w:pPr>
        <w:pStyle w:val="19"/>
        <w:tabs>
          <w:tab w:val="right" w:leader="dot" w:pos="9344"/>
        </w:tabs>
        <w:rPr>
          <w:rFonts w:asciiTheme="minorHAnsi" w:hAnsiTheme="minorHAnsi" w:eastAsiaTheme="minorEastAsia" w:cstheme="minorBidi"/>
          <w:szCs w:val="22"/>
        </w:rPr>
      </w:pPr>
      <w:r>
        <w:fldChar w:fldCharType="begin"/>
      </w:r>
      <w:r>
        <w:instrText xml:space="preserve"> HYPERLINK \l "_Toc177716123" </w:instrText>
      </w:r>
      <w:r>
        <w:fldChar w:fldCharType="separate"/>
      </w:r>
      <w:r>
        <w:rPr>
          <w:rStyle w:val="32"/>
        </w:rPr>
        <w:t>2 规范性引用文件</w:t>
      </w:r>
      <w:r>
        <w:tab/>
      </w:r>
      <w:r>
        <w:fldChar w:fldCharType="begin"/>
      </w:r>
      <w:r>
        <w:instrText xml:space="preserve"> PAGEREF _Toc177716123 \h </w:instrText>
      </w:r>
      <w:r>
        <w:fldChar w:fldCharType="separate"/>
      </w:r>
      <w:r>
        <w:t>1</w:t>
      </w:r>
      <w:r>
        <w:fldChar w:fldCharType="end"/>
      </w:r>
      <w:r>
        <w:fldChar w:fldCharType="end"/>
      </w:r>
    </w:p>
    <w:p w14:paraId="69839070">
      <w:pPr>
        <w:pStyle w:val="19"/>
        <w:tabs>
          <w:tab w:val="right" w:leader="dot" w:pos="9344"/>
        </w:tabs>
        <w:rPr>
          <w:rFonts w:asciiTheme="minorHAnsi" w:hAnsiTheme="minorHAnsi" w:eastAsiaTheme="minorEastAsia" w:cstheme="minorBidi"/>
          <w:szCs w:val="22"/>
        </w:rPr>
      </w:pPr>
      <w:r>
        <w:fldChar w:fldCharType="begin"/>
      </w:r>
      <w:r>
        <w:instrText xml:space="preserve"> HYPERLINK \l "_Toc177716124" </w:instrText>
      </w:r>
      <w:r>
        <w:fldChar w:fldCharType="separate"/>
      </w:r>
      <w:r>
        <w:rPr>
          <w:rStyle w:val="32"/>
        </w:rPr>
        <w:t>3 术语和定义</w:t>
      </w:r>
      <w:r>
        <w:tab/>
      </w:r>
      <w:r>
        <w:fldChar w:fldCharType="begin"/>
      </w:r>
      <w:r>
        <w:instrText xml:space="preserve"> PAGEREF _Toc177716124 \h </w:instrText>
      </w:r>
      <w:r>
        <w:fldChar w:fldCharType="separate"/>
      </w:r>
      <w:r>
        <w:t>1</w:t>
      </w:r>
      <w:r>
        <w:fldChar w:fldCharType="end"/>
      </w:r>
      <w:r>
        <w:fldChar w:fldCharType="end"/>
      </w:r>
    </w:p>
    <w:p w14:paraId="0368496A">
      <w:pPr>
        <w:pStyle w:val="19"/>
        <w:tabs>
          <w:tab w:val="right" w:leader="dot" w:pos="9344"/>
        </w:tabs>
        <w:rPr>
          <w:rFonts w:asciiTheme="minorHAnsi" w:hAnsiTheme="minorHAnsi" w:eastAsiaTheme="minorEastAsia" w:cstheme="minorBidi"/>
          <w:szCs w:val="22"/>
        </w:rPr>
      </w:pPr>
      <w:r>
        <w:fldChar w:fldCharType="begin"/>
      </w:r>
      <w:r>
        <w:instrText xml:space="preserve"> HYPERLINK \l "_Toc177716125" </w:instrText>
      </w:r>
      <w:r>
        <w:fldChar w:fldCharType="separate"/>
      </w:r>
      <w:r>
        <w:rPr>
          <w:rStyle w:val="32"/>
        </w:rPr>
        <w:t>4 评估技术流程</w:t>
      </w:r>
      <w:r>
        <w:tab/>
      </w:r>
      <w:r>
        <w:fldChar w:fldCharType="begin"/>
      </w:r>
      <w:r>
        <w:instrText xml:space="preserve"> PAGEREF _Toc177716125 \h </w:instrText>
      </w:r>
      <w:r>
        <w:fldChar w:fldCharType="separate"/>
      </w:r>
      <w:r>
        <w:t>1</w:t>
      </w:r>
      <w:r>
        <w:fldChar w:fldCharType="end"/>
      </w:r>
      <w:r>
        <w:fldChar w:fldCharType="end"/>
      </w:r>
    </w:p>
    <w:p w14:paraId="534822EF">
      <w:pPr>
        <w:pStyle w:val="19"/>
        <w:tabs>
          <w:tab w:val="right" w:leader="dot" w:pos="9344"/>
        </w:tabs>
        <w:rPr>
          <w:rFonts w:asciiTheme="minorHAnsi" w:hAnsiTheme="minorHAnsi" w:eastAsiaTheme="minorEastAsia" w:cstheme="minorBidi"/>
          <w:szCs w:val="22"/>
        </w:rPr>
      </w:pPr>
      <w:r>
        <w:fldChar w:fldCharType="begin"/>
      </w:r>
      <w:r>
        <w:instrText xml:space="preserve"> HYPERLINK \l "_Toc177716126" </w:instrText>
      </w:r>
      <w:r>
        <w:fldChar w:fldCharType="separate"/>
      </w:r>
      <w:r>
        <w:rPr>
          <w:rStyle w:val="32"/>
        </w:rPr>
        <w:t>5 评估方法</w:t>
      </w:r>
      <w:r>
        <w:tab/>
      </w:r>
      <w:r>
        <w:fldChar w:fldCharType="begin"/>
      </w:r>
      <w:r>
        <w:instrText xml:space="preserve"> PAGEREF _Toc177716126 \h </w:instrText>
      </w:r>
      <w:r>
        <w:fldChar w:fldCharType="separate"/>
      </w:r>
      <w:r>
        <w:t>2</w:t>
      </w:r>
      <w:r>
        <w:fldChar w:fldCharType="end"/>
      </w:r>
      <w:r>
        <w:fldChar w:fldCharType="end"/>
      </w:r>
    </w:p>
    <w:p w14:paraId="283779A2">
      <w:pPr>
        <w:pStyle w:val="24"/>
        <w:rPr>
          <w:rFonts w:asciiTheme="minorHAnsi" w:hAnsiTheme="minorHAnsi" w:eastAsiaTheme="minorEastAsia" w:cstheme="minorBidi"/>
          <w:szCs w:val="22"/>
        </w:rPr>
      </w:pPr>
      <w:r>
        <w:fldChar w:fldCharType="begin"/>
      </w:r>
      <w:r>
        <w:instrText xml:space="preserve"> HYPERLINK \l "_Toc177716127" </w:instrText>
      </w:r>
      <w:r>
        <w:fldChar w:fldCharType="separate"/>
      </w:r>
      <w:r>
        <w:rPr>
          <w:rStyle w:val="32"/>
          <w14:scene3d>
            <w14:lightRig w14:rig="threePt" w14:dir="t">
              <w14:rot w14:lat="0" w14:lon="0" w14:rev="0"/>
            </w14:lightRig>
          </w14:scene3d>
        </w:rPr>
        <w:t>5.1</w:t>
      </w:r>
      <w:r>
        <w:rPr>
          <w:rStyle w:val="32"/>
        </w:rPr>
        <w:t xml:space="preserve"> 数据准备</w:t>
      </w:r>
      <w:r>
        <w:tab/>
      </w:r>
      <w:r>
        <w:fldChar w:fldCharType="begin"/>
      </w:r>
      <w:r>
        <w:instrText xml:space="preserve"> PAGEREF _Toc177716127 \h </w:instrText>
      </w:r>
      <w:r>
        <w:fldChar w:fldCharType="separate"/>
      </w:r>
      <w:r>
        <w:t>2</w:t>
      </w:r>
      <w:r>
        <w:fldChar w:fldCharType="end"/>
      </w:r>
      <w:r>
        <w:fldChar w:fldCharType="end"/>
      </w:r>
    </w:p>
    <w:p w14:paraId="2D8FF445">
      <w:pPr>
        <w:pStyle w:val="24"/>
        <w:rPr>
          <w:rFonts w:asciiTheme="minorHAnsi" w:hAnsiTheme="minorHAnsi" w:eastAsiaTheme="minorEastAsia" w:cstheme="minorBidi"/>
          <w:szCs w:val="22"/>
        </w:rPr>
      </w:pPr>
      <w:r>
        <w:fldChar w:fldCharType="begin"/>
      </w:r>
      <w:r>
        <w:instrText xml:space="preserve"> HYPERLINK \l "_Toc177716128" </w:instrText>
      </w:r>
      <w:r>
        <w:fldChar w:fldCharType="separate"/>
      </w:r>
      <w:r>
        <w:rPr>
          <w:rStyle w:val="32"/>
          <w14:scene3d>
            <w14:lightRig w14:rig="threePt" w14:dir="t">
              <w14:rot w14:lat="0" w14:lon="0" w14:rev="0"/>
            </w14:lightRig>
          </w14:scene3d>
        </w:rPr>
        <w:t>5.2</w:t>
      </w:r>
      <w:r>
        <w:rPr>
          <w:rStyle w:val="32"/>
        </w:rPr>
        <w:t xml:space="preserve"> 蓝藻水华面积计算</w:t>
      </w:r>
      <w:r>
        <w:tab/>
      </w:r>
      <w:r>
        <w:fldChar w:fldCharType="begin"/>
      </w:r>
      <w:r>
        <w:instrText xml:space="preserve"> PAGEREF _Toc177716128 \h </w:instrText>
      </w:r>
      <w:r>
        <w:fldChar w:fldCharType="separate"/>
      </w:r>
      <w:r>
        <w:t>2</w:t>
      </w:r>
      <w:r>
        <w:fldChar w:fldCharType="end"/>
      </w:r>
      <w:r>
        <w:fldChar w:fldCharType="end"/>
      </w:r>
    </w:p>
    <w:p w14:paraId="2DFAFDD7">
      <w:pPr>
        <w:pStyle w:val="24"/>
        <w:rPr>
          <w:rFonts w:asciiTheme="minorHAnsi" w:hAnsiTheme="minorHAnsi" w:eastAsiaTheme="minorEastAsia" w:cstheme="minorBidi"/>
          <w:szCs w:val="22"/>
        </w:rPr>
      </w:pPr>
      <w:r>
        <w:fldChar w:fldCharType="begin"/>
      </w:r>
      <w:r>
        <w:instrText xml:space="preserve"> HYPERLINK \l "_Toc177716129" </w:instrText>
      </w:r>
      <w:r>
        <w:fldChar w:fldCharType="separate"/>
      </w:r>
      <w:r>
        <w:rPr>
          <w:rStyle w:val="32"/>
          <w14:scene3d>
            <w14:lightRig w14:rig="threePt" w14:dir="t">
              <w14:rot w14:lat="0" w14:lon="0" w14:rev="0"/>
            </w14:lightRig>
          </w14:scene3d>
        </w:rPr>
        <w:t>5.3</w:t>
      </w:r>
      <w:r>
        <w:rPr>
          <w:rStyle w:val="32"/>
        </w:rPr>
        <w:t xml:space="preserve"> 蓝藻水华影响面积计算</w:t>
      </w:r>
      <w:r>
        <w:tab/>
      </w:r>
      <w:r>
        <w:fldChar w:fldCharType="begin"/>
      </w:r>
      <w:r>
        <w:instrText xml:space="preserve"> PAGEREF _Toc177716129 \h </w:instrText>
      </w:r>
      <w:r>
        <w:fldChar w:fldCharType="separate"/>
      </w:r>
      <w:r>
        <w:t>3</w:t>
      </w:r>
      <w:r>
        <w:fldChar w:fldCharType="end"/>
      </w:r>
      <w:r>
        <w:fldChar w:fldCharType="end"/>
      </w:r>
    </w:p>
    <w:p w14:paraId="49E2704E">
      <w:pPr>
        <w:pStyle w:val="24"/>
        <w:rPr>
          <w:rFonts w:asciiTheme="minorHAnsi" w:hAnsiTheme="minorHAnsi" w:eastAsiaTheme="minorEastAsia" w:cstheme="minorBidi"/>
          <w:szCs w:val="22"/>
        </w:rPr>
      </w:pPr>
      <w:r>
        <w:fldChar w:fldCharType="begin"/>
      </w:r>
      <w:r>
        <w:instrText xml:space="preserve"> HYPERLINK \l "_Toc177716130" </w:instrText>
      </w:r>
      <w:r>
        <w:fldChar w:fldCharType="separate"/>
      </w:r>
      <w:r>
        <w:rPr>
          <w:rStyle w:val="32"/>
          <w14:scene3d>
            <w14:lightRig w14:rig="threePt" w14:dir="t">
              <w14:rot w14:lat="0" w14:lon="0" w14:rev="0"/>
            </w14:lightRig>
          </w14:scene3d>
        </w:rPr>
        <w:t>5.4</w:t>
      </w:r>
      <w:r>
        <w:rPr>
          <w:rStyle w:val="32"/>
        </w:rPr>
        <w:t xml:space="preserve"> 蓝藻水华强度指数计算</w:t>
      </w:r>
      <w:r>
        <w:tab/>
      </w:r>
      <w:r>
        <w:fldChar w:fldCharType="begin"/>
      </w:r>
      <w:r>
        <w:instrText xml:space="preserve"> PAGEREF _Toc177716130 \h </w:instrText>
      </w:r>
      <w:r>
        <w:fldChar w:fldCharType="separate"/>
      </w:r>
      <w:r>
        <w:t>3</w:t>
      </w:r>
      <w:r>
        <w:fldChar w:fldCharType="end"/>
      </w:r>
      <w:r>
        <w:fldChar w:fldCharType="end"/>
      </w:r>
    </w:p>
    <w:p w14:paraId="091D1BE3">
      <w:pPr>
        <w:pStyle w:val="24"/>
        <w:rPr>
          <w:rFonts w:asciiTheme="minorHAnsi" w:hAnsiTheme="minorHAnsi" w:eastAsiaTheme="minorEastAsia" w:cstheme="minorBidi"/>
          <w:szCs w:val="22"/>
        </w:rPr>
      </w:pPr>
      <w:r>
        <w:fldChar w:fldCharType="begin"/>
      </w:r>
      <w:r>
        <w:instrText xml:space="preserve"> HYPERLINK \l "_Toc177716131" </w:instrText>
      </w:r>
      <w:r>
        <w:fldChar w:fldCharType="separate"/>
      </w:r>
      <w:r>
        <w:rPr>
          <w:rStyle w:val="32"/>
          <w14:scene3d>
            <w14:lightRig w14:rig="threePt" w14:dir="t">
              <w14:rot w14:lat="0" w14:lon="0" w14:rev="0"/>
            </w14:lightRig>
          </w14:scene3d>
        </w:rPr>
        <w:t>5.5</w:t>
      </w:r>
      <w:r>
        <w:rPr>
          <w:rStyle w:val="32"/>
        </w:rPr>
        <w:t xml:space="preserve"> 蓝藻水华强度分级</w:t>
      </w:r>
      <w:r>
        <w:tab/>
      </w:r>
      <w:r>
        <w:fldChar w:fldCharType="begin"/>
      </w:r>
      <w:r>
        <w:instrText xml:space="preserve"> PAGEREF _Toc177716131 \h </w:instrText>
      </w:r>
      <w:r>
        <w:fldChar w:fldCharType="separate"/>
      </w:r>
      <w:r>
        <w:t>4</w:t>
      </w:r>
      <w:r>
        <w:fldChar w:fldCharType="end"/>
      </w:r>
      <w:r>
        <w:fldChar w:fldCharType="end"/>
      </w:r>
    </w:p>
    <w:p w14:paraId="515AB6A0">
      <w:pPr>
        <w:pStyle w:val="24"/>
        <w:rPr>
          <w:rFonts w:asciiTheme="minorHAnsi" w:hAnsiTheme="minorHAnsi" w:eastAsiaTheme="minorEastAsia" w:cstheme="minorBidi"/>
          <w:szCs w:val="22"/>
        </w:rPr>
      </w:pPr>
      <w:r>
        <w:fldChar w:fldCharType="begin"/>
      </w:r>
      <w:r>
        <w:instrText xml:space="preserve"> HYPERLINK \l "_Toc177716132" </w:instrText>
      </w:r>
      <w:r>
        <w:fldChar w:fldCharType="separate"/>
      </w:r>
      <w:r>
        <w:rPr>
          <w:rStyle w:val="32"/>
          <w14:scene3d>
            <w14:lightRig w14:rig="threePt" w14:dir="t">
              <w14:rot w14:lat="0" w14:lon="0" w14:rev="0"/>
            </w14:lightRig>
          </w14:scene3d>
        </w:rPr>
        <w:t>5.6</w:t>
      </w:r>
      <w:r>
        <w:rPr>
          <w:rStyle w:val="32"/>
        </w:rPr>
        <w:t xml:space="preserve"> 气象适宜度指数计算</w:t>
      </w:r>
      <w:r>
        <w:tab/>
      </w:r>
      <w:r>
        <w:fldChar w:fldCharType="begin"/>
      </w:r>
      <w:r>
        <w:instrText xml:space="preserve"> PAGEREF _Toc177716132 \h </w:instrText>
      </w:r>
      <w:r>
        <w:fldChar w:fldCharType="separate"/>
      </w:r>
      <w:r>
        <w:t>4</w:t>
      </w:r>
      <w:r>
        <w:fldChar w:fldCharType="end"/>
      </w:r>
      <w:r>
        <w:fldChar w:fldCharType="end"/>
      </w:r>
    </w:p>
    <w:p w14:paraId="3BA93225">
      <w:pPr>
        <w:pStyle w:val="24"/>
        <w:rPr>
          <w:rFonts w:asciiTheme="minorHAnsi" w:hAnsiTheme="minorHAnsi" w:eastAsiaTheme="minorEastAsia" w:cstheme="minorBidi"/>
          <w:szCs w:val="22"/>
        </w:rPr>
      </w:pPr>
      <w:r>
        <w:fldChar w:fldCharType="begin"/>
      </w:r>
      <w:r>
        <w:instrText xml:space="preserve"> HYPERLINK \l "_Toc177716133" </w:instrText>
      </w:r>
      <w:r>
        <w:fldChar w:fldCharType="separate"/>
      </w:r>
      <w:r>
        <w:rPr>
          <w:rStyle w:val="32"/>
          <w14:scene3d>
            <w14:lightRig w14:rig="threePt" w14:dir="t">
              <w14:rot w14:lat="0" w14:lon="0" w14:rev="0"/>
            </w14:lightRig>
          </w14:scene3d>
        </w:rPr>
        <w:t>5.7</w:t>
      </w:r>
      <w:r>
        <w:rPr>
          <w:rStyle w:val="32"/>
        </w:rPr>
        <w:t xml:space="preserve"> 气象适宜度分级</w:t>
      </w:r>
      <w:r>
        <w:tab/>
      </w:r>
      <w:r>
        <w:fldChar w:fldCharType="begin"/>
      </w:r>
      <w:r>
        <w:instrText xml:space="preserve"> PAGEREF _Toc177716133 \h </w:instrText>
      </w:r>
      <w:r>
        <w:fldChar w:fldCharType="separate"/>
      </w:r>
      <w:r>
        <w:t>5</w:t>
      </w:r>
      <w:r>
        <w:fldChar w:fldCharType="end"/>
      </w:r>
      <w:r>
        <w:fldChar w:fldCharType="end"/>
      </w:r>
    </w:p>
    <w:p w14:paraId="70770AB1">
      <w:pPr>
        <w:pStyle w:val="24"/>
        <w:rPr>
          <w:rFonts w:asciiTheme="minorHAnsi" w:hAnsiTheme="minorHAnsi" w:eastAsiaTheme="minorEastAsia" w:cstheme="minorBidi"/>
          <w:szCs w:val="22"/>
        </w:rPr>
      </w:pPr>
      <w:r>
        <w:fldChar w:fldCharType="begin"/>
      </w:r>
      <w:r>
        <w:instrText xml:space="preserve"> HYPERLINK \l "_Toc177716134" </w:instrText>
      </w:r>
      <w:r>
        <w:fldChar w:fldCharType="separate"/>
      </w:r>
      <w:r>
        <w:rPr>
          <w:rStyle w:val="32"/>
          <w14:scene3d>
            <w14:lightRig w14:rig="threePt" w14:dir="t">
              <w14:rot w14:lat="0" w14:lon="0" w14:rev="0"/>
            </w14:lightRig>
          </w14:scene3d>
        </w:rPr>
        <w:t>5.8</w:t>
      </w:r>
      <w:r>
        <w:rPr>
          <w:rStyle w:val="32"/>
        </w:rPr>
        <w:t xml:space="preserve"> 蓝藻水华环境气象影响评估</w:t>
      </w:r>
      <w:r>
        <w:tab/>
      </w:r>
      <w:r>
        <w:fldChar w:fldCharType="begin"/>
      </w:r>
      <w:r>
        <w:instrText xml:space="preserve"> PAGEREF _Toc177716134 \h </w:instrText>
      </w:r>
      <w:r>
        <w:fldChar w:fldCharType="separate"/>
      </w:r>
      <w:r>
        <w:t>5</w:t>
      </w:r>
      <w:r>
        <w:fldChar w:fldCharType="end"/>
      </w:r>
      <w:r>
        <w:fldChar w:fldCharType="end"/>
      </w:r>
    </w:p>
    <w:p w14:paraId="7CAB0023">
      <w:pPr>
        <w:pStyle w:val="19"/>
        <w:tabs>
          <w:tab w:val="right" w:leader="dot" w:pos="9344"/>
        </w:tabs>
        <w:rPr>
          <w:rFonts w:asciiTheme="minorHAnsi" w:hAnsiTheme="minorHAnsi" w:eastAsiaTheme="minorEastAsia" w:cstheme="minorBidi"/>
          <w:szCs w:val="22"/>
        </w:rPr>
      </w:pPr>
      <w:r>
        <w:fldChar w:fldCharType="begin"/>
      </w:r>
      <w:r>
        <w:instrText xml:space="preserve"> HYPERLINK \l "_Toc177716135" </w:instrText>
      </w:r>
      <w:r>
        <w:fldChar w:fldCharType="separate"/>
      </w:r>
      <w:r>
        <w:rPr>
          <w:rStyle w:val="32"/>
          <w:spacing w:val="100"/>
        </w:rPr>
        <w:t>附录A</w:t>
      </w:r>
      <w:r>
        <w:rPr>
          <w:rStyle w:val="32"/>
        </w:rPr>
        <w:t xml:space="preserve"> （资料性）</w:t>
      </w:r>
      <w:r>
        <w:tab/>
      </w:r>
      <w:r>
        <w:fldChar w:fldCharType="begin"/>
      </w:r>
      <w:r>
        <w:instrText xml:space="preserve"> PAGEREF _Toc177716135 \h </w:instrText>
      </w:r>
      <w:r>
        <w:fldChar w:fldCharType="separate"/>
      </w:r>
      <w:r>
        <w:t>6</w:t>
      </w:r>
      <w:r>
        <w:fldChar w:fldCharType="end"/>
      </w:r>
      <w:r>
        <w:fldChar w:fldCharType="end"/>
      </w:r>
    </w:p>
    <w:p w14:paraId="765F1C06">
      <w:pPr>
        <w:pStyle w:val="19"/>
        <w:tabs>
          <w:tab w:val="right" w:leader="dot" w:pos="9344"/>
        </w:tabs>
        <w:rPr>
          <w:rFonts w:asciiTheme="minorHAnsi" w:hAnsiTheme="minorHAnsi" w:eastAsiaTheme="minorEastAsia" w:cstheme="minorBidi"/>
          <w:szCs w:val="22"/>
        </w:rPr>
      </w:pPr>
      <w:r>
        <w:fldChar w:fldCharType="begin"/>
      </w:r>
      <w:r>
        <w:instrText xml:space="preserve"> HYPERLINK \l "_Toc177716136" </w:instrText>
      </w:r>
      <w:r>
        <w:fldChar w:fldCharType="separate"/>
      </w:r>
      <w:r>
        <w:rPr>
          <w:rStyle w:val="32"/>
          <w:spacing w:val="105"/>
        </w:rPr>
        <w:t>参考文</w:t>
      </w:r>
      <w:r>
        <w:rPr>
          <w:rStyle w:val="32"/>
        </w:rPr>
        <w:t>献</w:t>
      </w:r>
      <w:r>
        <w:tab/>
      </w:r>
      <w:r>
        <w:fldChar w:fldCharType="begin"/>
      </w:r>
      <w:r>
        <w:instrText xml:space="preserve"> PAGEREF _Toc177716136 \h </w:instrText>
      </w:r>
      <w:r>
        <w:fldChar w:fldCharType="separate"/>
      </w:r>
      <w:r>
        <w:t>7</w:t>
      </w:r>
      <w:r>
        <w:fldChar w:fldCharType="end"/>
      </w:r>
      <w:r>
        <w:fldChar w:fldCharType="end"/>
      </w:r>
    </w:p>
    <w:p w14:paraId="4AF37285">
      <w:pPr>
        <w:pStyle w:val="91"/>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70FD991C">
      <w:pPr>
        <w:pStyle w:val="89"/>
        <w:spacing w:before="900" w:after="468"/>
      </w:pPr>
      <w:bookmarkStart w:id="26" w:name="_Toc177716121"/>
      <w:bookmarkStart w:id="27" w:name="BookMark2"/>
      <w:r>
        <w:rPr>
          <w:spacing w:val="320"/>
        </w:rPr>
        <w:t>前</w:t>
      </w:r>
      <w:r>
        <w:t>言</w:t>
      </w:r>
      <w:bookmarkEnd w:id="22"/>
      <w:bookmarkEnd w:id="23"/>
      <w:bookmarkEnd w:id="24"/>
      <w:bookmarkEnd w:id="25"/>
      <w:bookmarkEnd w:id="26"/>
    </w:p>
    <w:p w14:paraId="54F643C7">
      <w:pPr>
        <w:pStyle w:val="56"/>
        <w:ind w:firstLine="420"/>
      </w:pPr>
      <w:r>
        <w:rPr>
          <w:rFonts w:hint="eastAsia"/>
        </w:rPr>
        <w:t>本文件按照GB/T 1.1—2020《标准化工作导则  第1部分：标准化文件的结构和起草规则》的规定起草。</w:t>
      </w:r>
    </w:p>
    <w:p w14:paraId="5DA7ACF9">
      <w:pPr>
        <w:pStyle w:val="56"/>
        <w:ind w:firstLine="420"/>
      </w:pPr>
      <w:r>
        <w:rPr>
          <w:rFonts w:hint="eastAsia"/>
        </w:rPr>
        <w:t>本文件由</w:t>
      </w:r>
      <w:r>
        <w:rPr>
          <w:rFonts w:hint="eastAsia"/>
          <w:kern w:val="144"/>
        </w:rPr>
        <w:t>江苏省气象局</w:t>
      </w:r>
      <w:r>
        <w:rPr>
          <w:rFonts w:hint="eastAsia"/>
        </w:rPr>
        <w:t>提出</w:t>
      </w:r>
      <w:r>
        <w:rPr>
          <w:rFonts w:hint="eastAsia"/>
          <w:lang w:val="en-US" w:eastAsia="zh-CN"/>
        </w:rPr>
        <w:t>并</w:t>
      </w:r>
      <w:r>
        <w:rPr>
          <w:rFonts w:hint="eastAsia"/>
        </w:rPr>
        <w:t>归口</w:t>
      </w:r>
      <w:bookmarkStart w:id="124" w:name="_GoBack"/>
      <w:bookmarkEnd w:id="124"/>
      <w:r>
        <w:rPr>
          <w:rFonts w:hint="eastAsia"/>
        </w:rPr>
        <w:t>。</w:t>
      </w:r>
    </w:p>
    <w:p w14:paraId="242B1170">
      <w:pPr>
        <w:pStyle w:val="56"/>
        <w:ind w:firstLine="420"/>
      </w:pPr>
      <w:r>
        <w:rPr>
          <w:rFonts w:hint="eastAsia"/>
        </w:rPr>
        <w:t>本文件起草单位：</w:t>
      </w:r>
      <w:r>
        <w:rPr>
          <w:kern w:val="144"/>
        </w:rPr>
        <w:t>江苏省气候中心、南京气象科技创新研究院、</w:t>
      </w:r>
      <w:r>
        <w:rPr>
          <w:rFonts w:hint="eastAsia"/>
          <w:kern w:val="144"/>
        </w:rPr>
        <w:t>江苏省生态环境厅太湖水污染防治处、</w:t>
      </w:r>
      <w:r>
        <w:rPr>
          <w:kern w:val="144"/>
        </w:rPr>
        <w:t>江苏省环境监测中心</w:t>
      </w:r>
      <w:r>
        <w:rPr>
          <w:rFonts w:hint="eastAsia"/>
          <w:kern w:val="144"/>
        </w:rPr>
        <w:t>。</w:t>
      </w:r>
    </w:p>
    <w:p w14:paraId="59354F68">
      <w:pPr>
        <w:pStyle w:val="56"/>
        <w:ind w:firstLine="420"/>
      </w:pPr>
      <w:r>
        <w:rPr>
          <w:rFonts w:hint="eastAsia"/>
        </w:rPr>
        <w:t>本文件主要起草人：</w:t>
      </w:r>
      <w:r>
        <w:rPr>
          <w:rFonts w:hint="eastAsia"/>
          <w:kern w:val="144"/>
        </w:rPr>
        <w:t>李亚春、杭鑫、李心怡、朱士华、徐萌、孙良宵、施丽丽、姜晟。</w:t>
      </w:r>
    </w:p>
    <w:p w14:paraId="4E813464">
      <w:pPr>
        <w:pStyle w:val="56"/>
        <w:ind w:firstLine="420"/>
      </w:pPr>
    </w:p>
    <w:p w14:paraId="4560D254">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7"/>
    <w:p w14:paraId="5C26276D">
      <w:pPr>
        <w:spacing w:line="20" w:lineRule="exact"/>
        <w:jc w:val="center"/>
        <w:rPr>
          <w:rFonts w:ascii="黑体" w:hAnsi="黑体" w:eastAsia="黑体"/>
          <w:sz w:val="32"/>
          <w:szCs w:val="32"/>
        </w:rPr>
      </w:pPr>
      <w:bookmarkStart w:id="28" w:name="BookMark4"/>
    </w:p>
    <w:p w14:paraId="010B00FD">
      <w:pPr>
        <w:spacing w:line="20" w:lineRule="exact"/>
        <w:jc w:val="center"/>
        <w:rPr>
          <w:rFonts w:ascii="黑体" w:hAnsi="黑体" w:eastAsia="黑体"/>
          <w:sz w:val="32"/>
          <w:szCs w:val="32"/>
        </w:rPr>
      </w:pPr>
    </w:p>
    <w:sdt>
      <w:sdtPr>
        <w:tag w:val="NEW_STAND_NAME"/>
        <w:id w:val="595910757"/>
        <w:lock w:val="sdtLocked"/>
        <w:placeholder>
          <w:docPart w:val="E2A72AB886484663B3DD489E59A497F7"/>
        </w:placeholder>
      </w:sdtPr>
      <w:sdtContent>
        <w:p w14:paraId="0657CD06">
          <w:pPr>
            <w:pStyle w:val="177"/>
            <w:spacing w:before="3" w:beforeLines="1" w:after="686" w:afterLines="220"/>
          </w:pPr>
          <w:bookmarkStart w:id="29" w:name="NEW_STAND_NAME"/>
          <w:r>
            <w:rPr>
              <w:rFonts w:hint="eastAsia"/>
            </w:rPr>
            <w:t>湖泊蓝藻水华环境气象影响评估技术导则</w:t>
          </w:r>
        </w:p>
      </w:sdtContent>
    </w:sdt>
    <w:bookmarkEnd w:id="29"/>
    <w:p w14:paraId="78A5225A">
      <w:pPr>
        <w:pStyle w:val="104"/>
        <w:spacing w:before="312" w:after="312"/>
      </w:pPr>
      <w:bookmarkStart w:id="30" w:name="_Toc17233325"/>
      <w:bookmarkStart w:id="31" w:name="_Toc17233333"/>
      <w:bookmarkStart w:id="32" w:name="_Toc24884211"/>
      <w:bookmarkStart w:id="33" w:name="_Toc24884218"/>
      <w:bookmarkStart w:id="34" w:name="_Toc26648465"/>
      <w:bookmarkStart w:id="35" w:name="_Toc176940610"/>
      <w:bookmarkStart w:id="36" w:name="_Toc26986771"/>
      <w:bookmarkStart w:id="37" w:name="_Toc176942018"/>
      <w:bookmarkStart w:id="38" w:name="_Toc26718930"/>
      <w:bookmarkStart w:id="39" w:name="_Toc176942291"/>
      <w:bookmarkStart w:id="40" w:name="_Toc26986530"/>
      <w:bookmarkStart w:id="41" w:name="_Toc177716122"/>
      <w:bookmarkStart w:id="42" w:name="_Toc97191423"/>
      <w:bookmarkStart w:id="43" w:name="_Toc176941206"/>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2BA43F1">
      <w:pPr>
        <w:pStyle w:val="56"/>
        <w:ind w:firstLine="420"/>
      </w:pPr>
      <w:bookmarkStart w:id="44" w:name="_Toc24884212"/>
      <w:bookmarkStart w:id="45" w:name="_Toc26648466"/>
      <w:bookmarkStart w:id="46" w:name="_Toc24884219"/>
      <w:bookmarkStart w:id="47" w:name="_Toc17233326"/>
      <w:bookmarkStart w:id="48" w:name="_Toc17233334"/>
      <w:r>
        <w:rPr>
          <w:rFonts w:hint="eastAsia"/>
        </w:rPr>
        <w:t>本文件规定了湖泊蓝藻水华环境气象影响评估工作中的术语与定义、评估技术流程和评估方法。</w:t>
      </w:r>
    </w:p>
    <w:p w14:paraId="7D0B6F1F">
      <w:pPr>
        <w:pStyle w:val="56"/>
        <w:ind w:firstLine="420"/>
      </w:pPr>
      <w:r>
        <w:rPr>
          <w:rFonts w:hint="eastAsia"/>
        </w:rPr>
        <w:t>本文件适用于湖泊蓝藻水华环境气象影响评估工作。</w:t>
      </w:r>
    </w:p>
    <w:p w14:paraId="3C83ED86">
      <w:pPr>
        <w:pStyle w:val="104"/>
        <w:spacing w:before="312" w:after="312"/>
      </w:pPr>
      <w:bookmarkStart w:id="49" w:name="_Toc176940611"/>
      <w:bookmarkStart w:id="50" w:name="_Toc176942019"/>
      <w:bookmarkStart w:id="51" w:name="_Toc97191424"/>
      <w:bookmarkStart w:id="52" w:name="_Toc26986531"/>
      <w:bookmarkStart w:id="53" w:name="_Toc176942292"/>
      <w:bookmarkStart w:id="54" w:name="_Toc177716123"/>
      <w:bookmarkStart w:id="55" w:name="_Toc176941207"/>
      <w:bookmarkStart w:id="56" w:name="_Toc26718931"/>
      <w:bookmarkStart w:id="57" w:name="_Toc26986772"/>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bookmarkEnd w:id="57"/>
    </w:p>
    <w:sdt>
      <w:sdtPr>
        <w:rPr>
          <w:rFonts w:hint="eastAsia"/>
        </w:rPr>
        <w:id w:val="715848253"/>
        <w:placeholder>
          <w:docPart w:val="915B9BA70C364B77A703B6D936A7431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7C71E66">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BA6B804">
      <w:pPr>
        <w:pStyle w:val="56"/>
        <w:ind w:firstLine="420"/>
      </w:pPr>
      <w:r>
        <w:rPr>
          <w:rFonts w:hint="eastAsia"/>
        </w:rPr>
        <w:t>HJ 1098-2020</w:t>
      </w:r>
      <w:r>
        <w:t xml:space="preserve"> </w:t>
      </w:r>
      <w:r>
        <w:rPr>
          <w:rFonts w:hint="eastAsia"/>
        </w:rPr>
        <w:t>水华遥感与地面监测评价技术规范</w:t>
      </w:r>
    </w:p>
    <w:p w14:paraId="4E9D5B24">
      <w:pPr>
        <w:pStyle w:val="56"/>
        <w:ind w:firstLine="420"/>
      </w:pPr>
      <w:r>
        <w:rPr>
          <w:rFonts w:hint="eastAsia"/>
        </w:rPr>
        <w:t>QX∕T 207-2013 湖泊蓝藻水华卫星遥感监测技术导则</w:t>
      </w:r>
    </w:p>
    <w:p w14:paraId="57E12B79">
      <w:pPr>
        <w:pStyle w:val="104"/>
        <w:spacing w:before="312" w:after="312"/>
      </w:pPr>
      <w:bookmarkStart w:id="58" w:name="_Toc177716124"/>
      <w:bookmarkStart w:id="59" w:name="_Toc176941208"/>
      <w:bookmarkStart w:id="60" w:name="_Toc97191425"/>
      <w:bookmarkStart w:id="61" w:name="_Toc176942293"/>
      <w:bookmarkStart w:id="62" w:name="_Toc176940612"/>
      <w:bookmarkStart w:id="63" w:name="_Toc176942020"/>
      <w:r>
        <w:rPr>
          <w:rFonts w:hint="eastAsia"/>
          <w:szCs w:val="21"/>
        </w:rPr>
        <w:t>术语和定义</w:t>
      </w:r>
      <w:bookmarkEnd w:id="58"/>
      <w:bookmarkEnd w:id="59"/>
      <w:bookmarkEnd w:id="60"/>
      <w:bookmarkEnd w:id="61"/>
      <w:bookmarkEnd w:id="62"/>
      <w:bookmarkEnd w:id="63"/>
    </w:p>
    <w:sdt>
      <w:sdtPr>
        <w:id w:val="-1909835108"/>
        <w:placeholder>
          <w:docPart w:val="59847BE7801C42E69DC717285E3C8B5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14F751C">
          <w:pPr>
            <w:pStyle w:val="56"/>
            <w:ind w:firstLine="420"/>
          </w:pPr>
          <w:bookmarkStart w:id="64" w:name="_Toc26986532"/>
          <w:bookmarkEnd w:id="64"/>
          <w:r>
            <w:t>下列术语和定义适用于本文件。</w:t>
          </w:r>
        </w:p>
      </w:sdtContent>
    </w:sdt>
    <w:p w14:paraId="51466388">
      <w:pPr>
        <w:pStyle w:val="223"/>
        <w:ind w:left="420" w:hanging="420" w:hangingChars="200"/>
        <w:rPr>
          <w:rFonts w:eastAsia="黑体"/>
        </w:rPr>
      </w:pPr>
      <w:r>
        <w:rPr>
          <w:rFonts w:ascii="黑体" w:hAnsi="黑体" w:eastAsia="黑体"/>
        </w:rPr>
        <w:br w:type="textWrapping"/>
      </w:r>
      <w:r>
        <w:rPr>
          <w:rFonts w:eastAsia="黑体"/>
        </w:rPr>
        <w:t>蓝藻水华   cyanobacteria bloom</w:t>
      </w:r>
    </w:p>
    <w:p w14:paraId="14A65FDD">
      <w:pPr>
        <w:pStyle w:val="56"/>
        <w:ind w:firstLine="420"/>
      </w:pPr>
      <w:r>
        <w:rPr>
          <w:rFonts w:hint="eastAsia"/>
        </w:rPr>
        <w:t>在一定环境条件下，水体富营养化的淡水湖泊中蓝藻大量繁殖并漂浮于水面引起水色异常的一种自然生态现象。</w:t>
      </w:r>
    </w:p>
    <w:p w14:paraId="4BB0369C">
      <w:pPr>
        <w:pStyle w:val="56"/>
        <w:ind w:firstLine="420"/>
      </w:pPr>
      <w:r>
        <w:rPr>
          <w:rFonts w:hint="eastAsia" w:ascii="黑体" w:hAnsi="黑体" w:eastAsia="黑体"/>
        </w:rPr>
        <w:t>[来源：QX/T 207-2013，</w:t>
      </w:r>
      <w:r>
        <w:rPr>
          <w:rFonts w:ascii="黑体" w:hAnsi="黑体" w:eastAsia="黑体"/>
        </w:rPr>
        <w:t>2</w:t>
      </w:r>
      <w:r>
        <w:rPr>
          <w:rFonts w:hint="eastAsia" w:ascii="黑体" w:hAnsi="黑体" w:eastAsia="黑体"/>
        </w:rPr>
        <w:t>.1]</w:t>
      </w:r>
    </w:p>
    <w:p w14:paraId="68F8294A">
      <w:pPr>
        <w:pStyle w:val="223"/>
        <w:ind w:left="420" w:hanging="420" w:hangingChars="200"/>
        <w:rPr>
          <w:rFonts w:eastAsia="黑体"/>
        </w:rPr>
      </w:pPr>
      <w:r>
        <w:rPr>
          <w:rFonts w:ascii="黑体" w:hAnsi="黑体" w:eastAsia="黑体"/>
        </w:rPr>
        <w:br w:type="textWrapping"/>
      </w:r>
      <w:r>
        <w:rPr>
          <w:rFonts w:eastAsia="黑体"/>
        </w:rPr>
        <w:t>蓝藻水华面积  cyanobacterial bloom area</w:t>
      </w:r>
    </w:p>
    <w:p w14:paraId="581933D0">
      <w:pPr>
        <w:pStyle w:val="56"/>
        <w:ind w:firstLine="420"/>
      </w:pPr>
      <w:r>
        <w:rPr>
          <w:rFonts w:hint="eastAsia"/>
        </w:rPr>
        <w:t>卫星遥感影像中包含蓝藻水华信息的像元的累计面积。</w:t>
      </w:r>
    </w:p>
    <w:p w14:paraId="3ECB77E8">
      <w:pPr>
        <w:pStyle w:val="223"/>
        <w:ind w:left="420" w:hanging="420" w:hangingChars="200"/>
        <w:rPr>
          <w:rFonts w:eastAsia="黑体"/>
        </w:rPr>
      </w:pPr>
      <w:r>
        <w:rPr>
          <w:rFonts w:ascii="黑体" w:hAnsi="黑体" w:eastAsia="黑体"/>
        </w:rPr>
        <w:br w:type="textWrapping"/>
      </w:r>
      <w:r>
        <w:rPr>
          <w:rFonts w:eastAsia="黑体"/>
        </w:rPr>
        <w:t>蓝藻水华影响面积   area affected by cyanobacterial bloom</w:t>
      </w:r>
    </w:p>
    <w:p w14:paraId="53FB405A">
      <w:pPr>
        <w:pStyle w:val="56"/>
        <w:ind w:firstLine="420"/>
      </w:pPr>
      <w:r>
        <w:rPr>
          <w:rFonts w:hint="eastAsia"/>
        </w:rPr>
        <w:t>根据蓝藻水华面积与所处湖泊水域相对面积的大小来确定的反映其对生态环境影响程度的蓝藻水华面积。</w:t>
      </w:r>
    </w:p>
    <w:p w14:paraId="14D992A4">
      <w:pPr>
        <w:pStyle w:val="223"/>
        <w:ind w:left="420" w:hanging="420" w:hangingChars="200"/>
        <w:rPr>
          <w:rFonts w:eastAsia="黑体"/>
        </w:rPr>
      </w:pPr>
      <w:r>
        <w:rPr>
          <w:rFonts w:ascii="黑体" w:hAnsi="黑体" w:eastAsia="黑体"/>
        </w:rPr>
        <w:br w:type="textWrapping"/>
      </w:r>
      <w:r>
        <w:rPr>
          <w:rFonts w:eastAsia="黑体"/>
        </w:rPr>
        <w:t>蓝藻水华发生次数   occurrence number of cyanobacterial bloom</w:t>
      </w:r>
    </w:p>
    <w:p w14:paraId="241C8C24">
      <w:pPr>
        <w:pStyle w:val="56"/>
        <w:ind w:firstLine="420"/>
      </w:pPr>
      <w:r>
        <w:rPr>
          <w:rFonts w:hint="eastAsia"/>
        </w:rPr>
        <w:t>一定时间段内卫星观测到蓝藻水华的次数。</w:t>
      </w:r>
    </w:p>
    <w:p w14:paraId="621C2462">
      <w:pPr>
        <w:pStyle w:val="223"/>
        <w:ind w:left="420" w:hanging="420" w:hangingChars="200"/>
        <w:rPr>
          <w:rFonts w:eastAsia="黑体"/>
        </w:rPr>
      </w:pPr>
      <w:r>
        <w:rPr>
          <w:rFonts w:ascii="黑体" w:hAnsi="黑体" w:eastAsia="黑体"/>
        </w:rPr>
        <w:br w:type="textWrapping"/>
      </w:r>
      <w:r>
        <w:rPr>
          <w:rFonts w:hint="eastAsia" w:ascii="黑体" w:hAnsi="黑体" w:eastAsia="黑体"/>
        </w:rPr>
        <w:t xml:space="preserve">蓝藻水华强度指数  </w:t>
      </w:r>
      <w:r>
        <w:rPr>
          <w:rFonts w:ascii="黑体" w:hAnsi="黑体" w:eastAsia="黑体"/>
        </w:rPr>
        <w:t xml:space="preserve"> </w:t>
      </w:r>
      <w:r>
        <w:rPr>
          <w:rFonts w:eastAsia="黑体"/>
        </w:rPr>
        <w:t>c</w:t>
      </w:r>
      <w:r>
        <w:rPr>
          <w:rFonts w:hint="eastAsia" w:eastAsia="黑体"/>
        </w:rPr>
        <w:t>y</w:t>
      </w:r>
      <w:r>
        <w:rPr>
          <w:rFonts w:eastAsia="黑体"/>
        </w:rPr>
        <w:t>anobacteria bloom intensity index</w:t>
      </w:r>
    </w:p>
    <w:p w14:paraId="6EED414D">
      <w:pPr>
        <w:pStyle w:val="56"/>
        <w:ind w:firstLine="420"/>
      </w:pPr>
      <w:r>
        <w:rPr>
          <w:rFonts w:hint="eastAsia"/>
        </w:rPr>
        <w:t>根据一定时间段内累计蓝藻水华影响面积和发生次数计算得到的反映蓝藻水华强弱特征的指数。</w:t>
      </w:r>
    </w:p>
    <w:p w14:paraId="5F046507">
      <w:pPr>
        <w:pStyle w:val="223"/>
        <w:ind w:left="420" w:hanging="420" w:hangingChars="200"/>
        <w:rPr>
          <w:rFonts w:ascii="黑体" w:hAnsi="黑体" w:eastAsia="黑体"/>
        </w:rPr>
      </w:pPr>
      <w:r>
        <w:rPr>
          <w:rFonts w:ascii="黑体" w:hAnsi="黑体" w:eastAsia="黑体"/>
        </w:rPr>
        <w:br w:type="textWrapping"/>
      </w:r>
      <w:r>
        <w:rPr>
          <w:rFonts w:hint="eastAsia" w:ascii="Times New Roman" w:eastAsia="黑体"/>
          <w:kern w:val="2"/>
          <w:szCs w:val="24"/>
        </w:rPr>
        <w:t>蓝藻水华</w:t>
      </w:r>
      <w:r>
        <w:rPr>
          <w:rFonts w:ascii="Times New Roman" w:eastAsia="黑体"/>
          <w:kern w:val="2"/>
          <w:szCs w:val="24"/>
        </w:rPr>
        <w:t xml:space="preserve">气象适宜度指数   </w:t>
      </w:r>
      <w:r>
        <w:rPr>
          <w:rFonts w:eastAsia="黑体"/>
        </w:rPr>
        <w:t>cyanobacterial bloom meteorological susceptibility ind</w:t>
      </w:r>
      <w:r>
        <w:rPr>
          <w:rFonts w:hint="eastAsia" w:eastAsia="黑体"/>
        </w:rPr>
        <w:t>ex</w:t>
      </w:r>
      <w:r>
        <w:rPr>
          <w:rFonts w:eastAsia="黑体"/>
        </w:rPr>
        <w:t xml:space="preserve"> </w:t>
      </w:r>
    </w:p>
    <w:p w14:paraId="7A3B1711">
      <w:pPr>
        <w:pStyle w:val="56"/>
        <w:ind w:firstLine="420"/>
      </w:pPr>
      <w:r>
        <w:rPr>
          <w:rFonts w:hint="eastAsia"/>
        </w:rPr>
        <w:t>反映环境气象条件对蓝藻水华发生发展的适宜程度的指数。</w:t>
      </w:r>
    </w:p>
    <w:p w14:paraId="129ADCBD">
      <w:pPr>
        <w:pStyle w:val="104"/>
        <w:spacing w:before="312" w:after="312"/>
      </w:pPr>
      <w:bookmarkStart w:id="65" w:name="_Toc177716125"/>
      <w:bookmarkStart w:id="66" w:name="_Toc176942294"/>
      <w:bookmarkStart w:id="67" w:name="_Toc176941214"/>
      <w:bookmarkStart w:id="68" w:name="_Toc176940618"/>
      <w:bookmarkStart w:id="69" w:name="_Toc176942021"/>
      <w:r>
        <w:rPr>
          <w:rFonts w:hint="eastAsia"/>
          <w:szCs w:val="21"/>
        </w:rPr>
        <w:t>评估技术流程</w:t>
      </w:r>
      <w:bookmarkEnd w:id="65"/>
      <w:bookmarkEnd w:id="66"/>
      <w:bookmarkEnd w:id="67"/>
      <w:bookmarkEnd w:id="68"/>
      <w:bookmarkEnd w:id="69"/>
    </w:p>
    <w:p w14:paraId="7FA29899">
      <w:pPr>
        <w:pStyle w:val="56"/>
        <w:spacing w:after="156" w:afterLines="50"/>
        <w:ind w:firstLine="420"/>
      </w:pPr>
      <w:r>
        <w:rPr>
          <w:rFonts w:hint="eastAsia"/>
        </w:rPr>
        <w:t>蓝藻水华环境气象影响评估采用定量分级评估方法。本文件以年时间尺度的气象影响评估为例，其他时间尺度可参照执行。</w:t>
      </w:r>
    </w:p>
    <w:p w14:paraId="5DB0E63A">
      <w:pPr>
        <w:pStyle w:val="56"/>
        <w:spacing w:after="156" w:afterLines="50"/>
        <w:ind w:firstLine="420"/>
      </w:pPr>
      <w:r>
        <w:rPr>
          <w:rFonts w:hint="eastAsia"/>
        </w:rPr>
        <w:t>蓝藻水华环境气象影响评估技术流程如图1所示。</w:t>
      </w:r>
    </w:p>
    <w:p w14:paraId="268D43E0">
      <w:pPr>
        <w:pStyle w:val="230"/>
        <w:ind w:firstLine="0" w:firstLineChars="0"/>
        <w:jc w:val="center"/>
      </w:pPr>
      <w:r>
        <w:drawing>
          <wp:inline distT="0" distB="0" distL="0" distR="0">
            <wp:extent cx="5388610" cy="3340735"/>
            <wp:effectExtent l="0" t="0" r="254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389200" cy="3340800"/>
                    </a:xfrm>
                    <a:prstGeom prst="rect">
                      <a:avLst/>
                    </a:prstGeom>
                    <a:noFill/>
                  </pic:spPr>
                </pic:pic>
              </a:graphicData>
            </a:graphic>
          </wp:inline>
        </w:drawing>
      </w:r>
    </w:p>
    <w:p w14:paraId="0BF6A5C1">
      <w:pPr>
        <w:pStyle w:val="230"/>
        <w:ind w:firstLine="422"/>
        <w:jc w:val="center"/>
        <w:rPr>
          <w:b/>
        </w:rPr>
      </w:pPr>
      <w:r>
        <w:rPr>
          <w:rFonts w:hint="eastAsia"/>
          <w:b/>
        </w:rPr>
        <w:t>图1</w:t>
      </w:r>
      <w:r>
        <w:rPr>
          <w:b/>
        </w:rPr>
        <w:t xml:space="preserve"> </w:t>
      </w:r>
      <w:r>
        <w:rPr>
          <w:rFonts w:hint="eastAsia"/>
          <w:b/>
        </w:rPr>
        <w:t>蓝藻水华环境气象影响评估技术流程</w:t>
      </w:r>
    </w:p>
    <w:p w14:paraId="287B1E54">
      <w:pPr>
        <w:pStyle w:val="104"/>
        <w:spacing w:before="312" w:after="312"/>
      </w:pPr>
      <w:bookmarkStart w:id="70" w:name="_Toc176940619"/>
      <w:bookmarkStart w:id="71" w:name="_Toc176942295"/>
      <w:bookmarkStart w:id="72" w:name="_Toc177716126"/>
      <w:bookmarkStart w:id="73" w:name="_Toc176941215"/>
      <w:bookmarkStart w:id="74" w:name="_Toc176942022"/>
      <w:r>
        <w:rPr>
          <w:rFonts w:hint="eastAsia"/>
          <w:szCs w:val="21"/>
        </w:rPr>
        <w:t>评估方法</w:t>
      </w:r>
      <w:bookmarkEnd w:id="70"/>
      <w:bookmarkEnd w:id="71"/>
      <w:bookmarkEnd w:id="72"/>
      <w:bookmarkEnd w:id="73"/>
      <w:bookmarkEnd w:id="74"/>
    </w:p>
    <w:p w14:paraId="0F4E4295">
      <w:pPr>
        <w:pStyle w:val="105"/>
        <w:spacing w:before="156" w:after="156"/>
        <w:ind w:left="0"/>
      </w:pPr>
      <w:bookmarkStart w:id="75" w:name="_Toc176942023"/>
      <w:bookmarkStart w:id="76" w:name="_Toc177716127"/>
      <w:bookmarkStart w:id="77" w:name="_Toc176942296"/>
      <w:bookmarkStart w:id="78" w:name="_Toc176941216"/>
      <w:bookmarkStart w:id="79" w:name="_Toc176940620"/>
      <w:r>
        <w:rPr>
          <w:rFonts w:hint="eastAsia"/>
        </w:rPr>
        <w:t>数据准备</w:t>
      </w:r>
      <w:bookmarkEnd w:id="75"/>
      <w:bookmarkEnd w:id="76"/>
      <w:bookmarkEnd w:id="77"/>
      <w:bookmarkEnd w:id="78"/>
      <w:bookmarkEnd w:id="79"/>
    </w:p>
    <w:p w14:paraId="2B4C67FD">
      <w:pPr>
        <w:pStyle w:val="65"/>
        <w:spacing w:before="156" w:after="156"/>
      </w:pPr>
      <w:r>
        <w:rPr>
          <w:rFonts w:hint="eastAsia"/>
        </w:rPr>
        <w:t>卫星观测数据源</w:t>
      </w:r>
    </w:p>
    <w:p w14:paraId="44F1CCAB">
      <w:pPr>
        <w:pStyle w:val="56"/>
        <w:ind w:firstLine="420"/>
      </w:pPr>
      <w:r>
        <w:rPr>
          <w:rFonts w:hint="eastAsia"/>
        </w:rPr>
        <w:t xml:space="preserve">选取卫星观测数据应源自携载有可见光、近红外、红外波段等探测仪器的卫星。空间分辨率应取决于监测水体的大小，水体面积越小，空间分辨率要求越高。 </w:t>
      </w:r>
    </w:p>
    <w:p w14:paraId="2C714134">
      <w:pPr>
        <w:pStyle w:val="56"/>
        <w:ind w:firstLine="420"/>
      </w:pPr>
      <w:r>
        <w:rPr>
          <w:rFonts w:hint="eastAsia"/>
        </w:rPr>
        <w:t>在遥感反演蓝藻水华前需要对卫星数据进行几何校正、空间裁剪、辐射定标和大气校正处理，按照 HJ 1098-2020中4</w:t>
      </w:r>
      <w:r>
        <w:t>.6</w:t>
      </w:r>
      <w:r>
        <w:rPr>
          <w:rFonts w:hint="eastAsia"/>
        </w:rPr>
        <w:t>规定的方法进行。</w:t>
      </w:r>
    </w:p>
    <w:p w14:paraId="4932B8E4">
      <w:pPr>
        <w:pStyle w:val="65"/>
        <w:spacing w:before="156" w:after="156"/>
      </w:pPr>
      <w:r>
        <w:rPr>
          <w:rFonts w:hint="eastAsia"/>
        </w:rPr>
        <w:t>气象观测数据源</w:t>
      </w:r>
    </w:p>
    <w:p w14:paraId="303DEB74">
      <w:pPr>
        <w:pStyle w:val="56"/>
        <w:ind w:firstLine="420"/>
      </w:pPr>
      <w:r>
        <w:rPr>
          <w:rFonts w:hint="eastAsia"/>
        </w:rPr>
        <w:t>选取气象观测数据应源自湖泊周边及湖面国家基本气象站，包括气温、降水、风速、日照、气压和相对湿度等观测数据。</w:t>
      </w:r>
    </w:p>
    <w:p w14:paraId="4A725818">
      <w:pPr>
        <w:pStyle w:val="105"/>
        <w:spacing w:before="156" w:after="156"/>
        <w:ind w:left="0"/>
      </w:pPr>
      <w:bookmarkStart w:id="80" w:name="_Toc176942024"/>
      <w:bookmarkStart w:id="81" w:name="_Toc176940621"/>
      <w:bookmarkStart w:id="82" w:name="_Toc176941217"/>
      <w:bookmarkStart w:id="83" w:name="_Toc177716128"/>
      <w:bookmarkStart w:id="84" w:name="_Toc176942297"/>
      <w:r>
        <w:rPr>
          <w:rFonts w:hint="eastAsia"/>
        </w:rPr>
        <w:t>蓝藻水华面积计算</w:t>
      </w:r>
      <w:bookmarkEnd w:id="80"/>
      <w:bookmarkEnd w:id="81"/>
      <w:bookmarkEnd w:id="82"/>
      <w:bookmarkEnd w:id="83"/>
      <w:bookmarkEnd w:id="84"/>
    </w:p>
    <w:p w14:paraId="2D970B84">
      <w:pPr>
        <w:pStyle w:val="56"/>
        <w:ind w:firstLine="420"/>
      </w:pPr>
      <w:r>
        <w:rPr>
          <w:rFonts w:hint="eastAsia"/>
        </w:rPr>
        <w:t>卫星监测到单次蓝藻水华的面积计算公式为：</w:t>
      </w:r>
      <w:r>
        <w:t xml:space="preserve"> </w:t>
      </w:r>
    </w:p>
    <w:p w14:paraId="6411C94E">
      <w:pPr>
        <w:pStyle w:val="113"/>
        <w:ind w:firstLine="3990" w:firstLineChars="1900"/>
      </w:pPr>
      <m:oMath>
        <m:sSub>
          <m:sSubPr>
            <m:ctrlPr>
              <w:rPr>
                <w:rFonts w:ascii="Cambria Math" w:hAnsi="Cambria Math"/>
                <w:i/>
              </w:rPr>
            </m:ctrlPr>
          </m:sSubPr>
          <m:e>
            <m:r>
              <m:rPr/>
              <w:rPr>
                <w:rFonts w:hint="eastAsia" w:ascii="Cambria Math" w:hAnsi="Cambria Math"/>
              </w:rPr>
              <m:t>s</m:t>
            </m:r>
            <m:ctrlPr>
              <w:rPr>
                <w:rFonts w:ascii="Cambria Math" w:hAnsi="Cambria Math"/>
                <w:i/>
              </w:rPr>
            </m:ctrlPr>
          </m:e>
          <m:sub>
            <m:r>
              <m:rPr/>
              <w:rPr>
                <w:rFonts w:hint="eastAsia" w:ascii="Cambria Math" w:hAnsi="Cambria Math"/>
              </w:rPr>
              <m:t>i</m:t>
            </m:r>
            <m:ctrlPr>
              <w:rPr>
                <w:rFonts w:ascii="Cambria Math" w:hAnsi="Cambria Math"/>
                <w:i/>
              </w:rPr>
            </m:ctrlPr>
          </m:sub>
        </m:sSub>
        <m:r>
          <m:rPr>
            <m:sty m:val="p"/>
          </m:rPr>
          <w:rPr>
            <w:rFonts w:ascii="Cambria Math" w:hAnsi="Cambria Math"/>
          </w:rPr>
          <m:t>=</m:t>
        </m:r>
        <m:nary>
          <m:naryPr>
            <m:chr m:val="∑"/>
            <m:limLoc m:val="subSup"/>
            <m:ctrlPr>
              <w:rPr>
                <w:rFonts w:ascii="Cambria Math" w:hAnsi="Cambria Math"/>
              </w:rPr>
            </m:ctrlPr>
          </m:naryPr>
          <m:sub>
            <m:r>
              <m:rPr/>
              <w:rPr>
                <w:rFonts w:hint="eastAsia" w:ascii="Cambria Math" w:hAnsi="Cambria Math"/>
              </w:rPr>
              <m:t>j</m:t>
            </m:r>
            <m:r>
              <m:rPr/>
              <w:rPr>
                <w:rFonts w:ascii="Cambria Math" w:hAnsi="Cambria Math"/>
              </w:rPr>
              <m:t>=1</m:t>
            </m:r>
            <m:ctrlPr>
              <w:rPr>
                <w:rFonts w:ascii="Cambria Math" w:hAnsi="Cambria Math"/>
              </w:rPr>
            </m:ctrlPr>
          </m:sub>
          <m:sup>
            <m:r>
              <m:rPr/>
              <w:rPr>
                <w:rFonts w:hint="eastAsia" w:ascii="Cambria Math" w:hAnsi="Cambria Math"/>
              </w:rPr>
              <m:t>m</m:t>
            </m:r>
            <m:ctrlPr>
              <w:rPr>
                <w:rFonts w:ascii="Cambria Math" w:hAnsi="Cambria Math"/>
              </w:rPr>
            </m:ctrlPr>
          </m:sup>
          <m:e>
            <m:sSub>
              <m:sSubPr>
                <m:ctrlPr>
                  <w:rPr>
                    <w:rFonts w:ascii="Cambria Math" w:hAnsi="Cambria Math"/>
                    <w:i/>
                  </w:rPr>
                </m:ctrlPr>
              </m:sSubPr>
              <m:e>
                <m:r>
                  <m:rPr/>
                  <w:rPr>
                    <w:rFonts w:ascii="Cambria Math" w:hAnsi="Cambria Math"/>
                  </w:rPr>
                  <m:t>δ</m:t>
                </m:r>
                <m:ctrlPr>
                  <w:rPr>
                    <w:rFonts w:ascii="Cambria Math" w:hAnsi="Cambria Math"/>
                    <w:i/>
                  </w:rPr>
                </m:ctrlPr>
              </m:e>
              <m:sub>
                <m:r>
                  <m:rPr/>
                  <w:rPr>
                    <w:rFonts w:hint="eastAsia" w:ascii="Cambria Math" w:hAnsi="Cambria Math"/>
                  </w:rPr>
                  <m:t>j</m:t>
                </m:r>
                <m:ctrlPr>
                  <w:rPr>
                    <w:rFonts w:ascii="Cambria Math" w:hAnsi="Cambria Math"/>
                    <w:i/>
                  </w:rPr>
                </m:ctrlPr>
              </m:sub>
            </m:sSub>
            <m:ctrlPr>
              <w:rPr>
                <w:rFonts w:ascii="Cambria Math" w:hAnsi="Cambria Math"/>
              </w:rPr>
            </m:ctrlPr>
          </m:e>
        </m:nary>
      </m:oMath>
      <w:r>
        <w:rPr>
          <w:rFonts w:ascii="微软雅黑" w:hAnsi="微软雅黑" w:eastAsia="微软雅黑"/>
        </w:rPr>
        <w:tab/>
      </w:r>
      <w:r>
        <w:t>(</w:t>
      </w:r>
      <w:r>
        <w:fldChar w:fldCharType="begin"/>
      </w:r>
      <w:r>
        <w:instrText xml:space="preserve"> AUTONUM </w:instrText>
      </w:r>
      <w:r>
        <w:fldChar w:fldCharType="end"/>
      </w:r>
      <w:r>
        <w:t>)</w:t>
      </w:r>
    </w:p>
    <w:p w14:paraId="42ABE1B4">
      <w:pPr>
        <w:pStyle w:val="56"/>
        <w:ind w:firstLine="420"/>
      </w:pPr>
      <w:r>
        <w:rPr>
          <w:rFonts w:hint="eastAsia"/>
        </w:rPr>
        <w:t>式中：</w:t>
      </w:r>
      <m:oMath>
        <m:sSub>
          <m:sSubPr>
            <m:ctrlPr>
              <w:rPr>
                <w:rFonts w:ascii="Cambria Math" w:hAnsi="Cambria Math"/>
                <w:i/>
              </w:rPr>
            </m:ctrlPr>
          </m:sSubPr>
          <m:e>
            <m:r>
              <m:rPr/>
              <w:rPr>
                <w:rFonts w:hint="eastAsia" w:ascii="Cambria Math" w:hAnsi="Cambria Math"/>
              </w:rPr>
              <m:t>s</m:t>
            </m:r>
            <m:ctrlPr>
              <w:rPr>
                <w:rFonts w:ascii="Cambria Math" w:hAnsi="Cambria Math"/>
                <w:i/>
              </w:rPr>
            </m:ctrlPr>
          </m:e>
          <m:sub>
            <m:r>
              <m:rPr/>
              <w:rPr>
                <w:rFonts w:hint="eastAsia" w:ascii="Cambria Math" w:hAnsi="Cambria Math"/>
              </w:rPr>
              <m:t>i</m:t>
            </m:r>
            <m:ctrlPr>
              <w:rPr>
                <w:rFonts w:ascii="Cambria Math" w:hAnsi="Cambria Math"/>
                <w:i/>
              </w:rPr>
            </m:ctrlPr>
          </m:sub>
        </m:sSub>
      </m:oMath>
      <w:r>
        <w:rPr>
          <w:rFonts w:hint="eastAsia"/>
        </w:rPr>
        <w:t>——第</w:t>
      </w:r>
      <m:oMath>
        <m:r>
          <m:rPr/>
          <w:rPr>
            <w:rFonts w:hint="eastAsia" w:ascii="Cambria Math" w:hAnsi="Cambria Math"/>
          </w:rPr>
          <m:t>i</m:t>
        </m:r>
      </m:oMath>
      <w:r>
        <w:rPr>
          <w:rFonts w:hint="eastAsia"/>
        </w:rPr>
        <w:t>次蓝藻水华的面积，单位为平方千米</w:t>
      </w:r>
      <w:r>
        <w:rPr>
          <w:rFonts w:ascii="Times New Roman"/>
        </w:rPr>
        <w:t>（km</w:t>
      </w:r>
      <w:r>
        <w:rPr>
          <w:rFonts w:ascii="Times New Roman"/>
          <w:vertAlign w:val="superscript"/>
        </w:rPr>
        <w:t>2</w:t>
      </w:r>
      <w:r>
        <w:rPr>
          <w:rFonts w:ascii="Times New Roman"/>
        </w:rPr>
        <w:t>）</w:t>
      </w:r>
      <w:r>
        <w:rPr>
          <w:rFonts w:hint="eastAsia"/>
        </w:rPr>
        <w:t>；</w:t>
      </w:r>
    </w:p>
    <w:p w14:paraId="5F189917">
      <w:pPr>
        <w:pStyle w:val="56"/>
        <w:ind w:firstLine="1050" w:firstLineChars="500"/>
      </w:pPr>
      <m:oMath>
        <m:sSub>
          <m:sSubPr>
            <m:ctrlPr>
              <w:rPr>
                <w:rFonts w:ascii="Cambria Math" w:hAnsi="Cambria Math"/>
                <w:i/>
                <w:kern w:val="2"/>
                <w:szCs w:val="21"/>
              </w:rPr>
            </m:ctrlPr>
          </m:sSubPr>
          <m:e>
            <m:r>
              <m:rPr/>
              <w:rPr>
                <w:rFonts w:ascii="Cambria Math" w:hAnsi="Cambria Math"/>
              </w:rPr>
              <m:t>δ</m:t>
            </m:r>
            <m:ctrlPr>
              <w:rPr>
                <w:rFonts w:ascii="Cambria Math" w:hAnsi="Cambria Math"/>
                <w:i/>
                <w:kern w:val="2"/>
                <w:szCs w:val="21"/>
              </w:rPr>
            </m:ctrlPr>
          </m:e>
          <m:sub>
            <m:r>
              <m:rPr/>
              <w:rPr>
                <w:rFonts w:hint="eastAsia" w:ascii="Cambria Math" w:hAnsi="Cambria Math"/>
              </w:rPr>
              <m:t>j</m:t>
            </m:r>
            <m:ctrlPr>
              <w:rPr>
                <w:rFonts w:ascii="Cambria Math" w:hAnsi="Cambria Math"/>
                <w:i/>
                <w:kern w:val="2"/>
                <w:szCs w:val="21"/>
              </w:rPr>
            </m:ctrlPr>
          </m:sub>
        </m:sSub>
      </m:oMath>
      <w:r>
        <w:rPr>
          <w:rFonts w:hint="eastAsia"/>
          <w:kern w:val="2"/>
          <w:szCs w:val="21"/>
        </w:rPr>
        <w:t>——第</w:t>
      </w:r>
      <m:oMath>
        <m:r>
          <m:rPr>
            <m:sty m:val="p"/>
          </m:rPr>
          <w:rPr>
            <w:rFonts w:hint="eastAsia" w:ascii="Cambria Math" w:hAnsi="Cambria Math"/>
            <w:kern w:val="2"/>
            <w:szCs w:val="21"/>
          </w:rPr>
          <m:t>j</m:t>
        </m:r>
      </m:oMath>
      <w:r>
        <w:rPr>
          <w:rFonts w:hint="eastAsia"/>
          <w:kern w:val="2"/>
          <w:szCs w:val="21"/>
        </w:rPr>
        <w:t>个包含蓝藻水华信息的像元</w:t>
      </w:r>
      <w:r>
        <w:rPr>
          <w:rFonts w:hint="eastAsia"/>
        </w:rPr>
        <w:t>的面积，单位为平方千米（</w:t>
      </w:r>
      <w:r>
        <w:rPr>
          <w:rFonts w:hint="eastAsia" w:ascii="Times New Roman"/>
        </w:rPr>
        <w:t>km</w:t>
      </w:r>
      <w:r>
        <w:rPr>
          <w:rFonts w:ascii="Times New Roman"/>
          <w:vertAlign w:val="superscript"/>
        </w:rPr>
        <w:t>2</w:t>
      </w:r>
      <w:r>
        <w:rPr>
          <w:rFonts w:hint="eastAsia"/>
        </w:rPr>
        <w:t>）；</w:t>
      </w:r>
    </w:p>
    <w:p w14:paraId="5467DBAC">
      <w:pPr>
        <w:pStyle w:val="56"/>
        <w:ind w:firstLine="1050" w:firstLineChars="500"/>
      </w:pPr>
      <w:r>
        <w:rPr>
          <w:rFonts w:hint="eastAsia" w:ascii="Cambria Math" w:hAnsi="Cambria Math"/>
          <w:i/>
        </w:rPr>
        <w:t>m——</w:t>
      </w:r>
      <w:r>
        <w:rPr>
          <w:rFonts w:hint="eastAsia"/>
        </w:rPr>
        <w:t>卫星影像中包含蓝藻水华信息的像元总数。</w:t>
      </w:r>
    </w:p>
    <w:p w14:paraId="4F4AEA91">
      <w:pPr>
        <w:pStyle w:val="105"/>
        <w:spacing w:before="156" w:after="156"/>
        <w:ind w:left="0"/>
      </w:pPr>
      <w:bookmarkStart w:id="85" w:name="_Toc176942025"/>
      <w:bookmarkStart w:id="86" w:name="_Toc176941218"/>
      <w:bookmarkStart w:id="87" w:name="_Toc177716129"/>
      <w:bookmarkStart w:id="88" w:name="_Toc176940622"/>
      <w:bookmarkStart w:id="89" w:name="_Toc176942298"/>
      <w:r>
        <w:rPr>
          <w:rFonts w:hint="eastAsia"/>
        </w:rPr>
        <w:t>蓝藻水华影响面积计算</w:t>
      </w:r>
      <w:bookmarkEnd w:id="85"/>
      <w:bookmarkEnd w:id="86"/>
      <w:bookmarkEnd w:id="87"/>
      <w:bookmarkEnd w:id="88"/>
      <w:bookmarkEnd w:id="89"/>
    </w:p>
    <w:p w14:paraId="6B6EADAF">
      <w:pPr>
        <w:pStyle w:val="56"/>
        <w:ind w:firstLine="420"/>
      </w:pPr>
      <w:r>
        <w:rPr>
          <w:rFonts w:hint="eastAsia"/>
        </w:rPr>
        <w:t>采用反距离权重法计算蓝藻水华面积影响权重系数，计算公式为：</w:t>
      </w:r>
    </w:p>
    <w:p w14:paraId="38086D20">
      <w:pPr>
        <w:pStyle w:val="113"/>
      </w:pPr>
      <w:r>
        <w:tab/>
      </w:r>
      <m:oMath>
        <m:r>
          <m:rPr>
            <m:sty m:val="p"/>
          </m:rPr>
          <w:rPr>
            <w:rFonts w:ascii="Cambria Math" w:hAnsi="Cambria Math"/>
          </w:rPr>
          <m:t xml:space="preserve"> </m:t>
        </m:r>
        <m:sSub>
          <m:sSubPr>
            <m:ctrlPr>
              <w:rPr>
                <w:rFonts w:ascii="Cambria Math" w:hAnsi="Cambria Math" w:eastAsia="黑体"/>
              </w:rPr>
            </m:ctrlPr>
          </m:sSubPr>
          <m:e>
            <m:r>
              <m:rPr/>
              <w:rPr>
                <w:rFonts w:hint="eastAsia" w:ascii="Cambria Math" w:hAnsi="Cambria Math" w:eastAsia="黑体"/>
              </w:rPr>
              <m:t>w</m:t>
            </m:r>
            <m:ctrlPr>
              <w:rPr>
                <w:rFonts w:ascii="Cambria Math" w:hAnsi="Cambria Math" w:eastAsia="黑体"/>
              </w:rPr>
            </m:ctrlPr>
          </m:e>
          <m:sub>
            <m:r>
              <m:rPr/>
              <w:rPr>
                <w:rFonts w:ascii="Cambria Math" w:hAnsi="Cambria Math" w:eastAsia="黑体"/>
              </w:rPr>
              <m:t>i</m:t>
            </m:r>
            <m:ctrlPr>
              <w:rPr>
                <w:rFonts w:ascii="Cambria Math" w:hAnsi="Cambria Math" w:eastAsia="黑体"/>
              </w:rPr>
            </m:ctrlPr>
          </m:sub>
        </m:sSub>
        <m:r>
          <m:rPr/>
          <w:rPr>
            <w:rFonts w:ascii="Cambria Math" w:hAnsi="Cambria Math" w:eastAsia="黑体"/>
          </w:rPr>
          <m:t>=</m:t>
        </m:r>
        <m:sSubSup>
          <m:sSubSupPr>
            <m:ctrlPr>
              <w:rPr>
                <w:rFonts w:ascii="Cambria Math" w:hAnsi="Cambria Math" w:eastAsia="黑体"/>
                <w:i/>
              </w:rPr>
            </m:ctrlPr>
          </m:sSubSupPr>
          <m:e>
            <m:r>
              <m:rPr/>
              <w:rPr>
                <w:rFonts w:ascii="Cambria Math" w:hAnsi="Cambria Math" w:eastAsia="黑体"/>
              </w:rPr>
              <m:t>d</m:t>
            </m:r>
            <m:ctrlPr>
              <w:rPr>
                <w:rFonts w:ascii="Cambria Math" w:hAnsi="Cambria Math" w:eastAsia="黑体"/>
                <w:i/>
              </w:rPr>
            </m:ctrlPr>
          </m:e>
          <m:sub>
            <m:r>
              <m:rPr/>
              <w:rPr>
                <w:rFonts w:ascii="Cambria Math" w:hAnsi="Cambria Math" w:eastAsia="黑体"/>
              </w:rPr>
              <m:t>i</m:t>
            </m:r>
            <m:ctrlPr>
              <w:rPr>
                <w:rFonts w:ascii="Cambria Math" w:hAnsi="Cambria Math" w:eastAsia="黑体"/>
                <w:i/>
              </w:rPr>
            </m:ctrlPr>
          </m:sub>
          <m:sup>
            <m:r>
              <m:rPr/>
              <w:rPr>
                <w:rFonts w:ascii="Cambria Math" w:hAnsi="Cambria Math" w:eastAsia="黑体"/>
              </w:rPr>
              <m:t>−2</m:t>
            </m:r>
            <m:ctrlPr>
              <w:rPr>
                <w:rFonts w:ascii="Cambria Math" w:hAnsi="Cambria Math" w:eastAsia="黑体"/>
                <w:i/>
              </w:rPr>
            </m:ctrlPr>
          </m:sup>
        </m:sSubSup>
        <m:r>
          <m:rPr/>
          <w:rPr>
            <w:rFonts w:ascii="Cambria Math" w:hAnsi="Cambria Math" w:eastAsia="黑体"/>
          </w:rPr>
          <m:t>=</m:t>
        </m:r>
        <m:sSup>
          <m:sSupPr>
            <m:ctrlPr>
              <w:rPr>
                <w:rFonts w:ascii="Cambria Math" w:hAnsi="Cambria Math" w:eastAsia="黑体"/>
                <w:i/>
              </w:rPr>
            </m:ctrlPr>
          </m:sSupPr>
          <m:e>
            <m:r>
              <m:rPr/>
              <w:rPr>
                <w:rFonts w:hint="eastAsia" w:ascii="Cambria Math" w:hAnsi="Cambria Math" w:eastAsia="黑体"/>
              </w:rPr>
              <m:t>（</m:t>
            </m:r>
            <m:f>
              <m:fPr>
                <m:ctrlPr>
                  <w:rPr>
                    <w:rFonts w:ascii="Cambria Math" w:hAnsi="Cambria Math" w:eastAsia="黑体"/>
                    <w:i/>
                  </w:rPr>
                </m:ctrlPr>
              </m:fPr>
              <m:num>
                <m:sSub>
                  <m:sSubPr>
                    <m:ctrlPr>
                      <w:rPr>
                        <w:rFonts w:ascii="Cambria Math" w:hAnsi="Cambria Math" w:eastAsia="黑体"/>
                        <w:i/>
                      </w:rPr>
                    </m:ctrlPr>
                  </m:sSubPr>
                  <m:e>
                    <m:sSub>
                      <m:sSubPr>
                        <m:ctrlPr>
                          <w:rPr>
                            <w:rFonts w:ascii="Cambria Math" w:hAnsi="Cambria Math"/>
                          </w:rPr>
                        </m:ctrlPr>
                      </m:sSubPr>
                      <m:e>
                        <m:r>
                          <m:rPr/>
                          <w:rPr>
                            <w:rFonts w:hint="eastAsia" w:ascii="Cambria Math" w:hAnsi="Cambria Math"/>
                          </w:rPr>
                          <m:t>S</m:t>
                        </m:r>
                        <m:ctrlPr>
                          <w:rPr>
                            <w:rFonts w:ascii="Cambria Math" w:hAnsi="Cambria Math"/>
                          </w:rPr>
                        </m:ctrlPr>
                      </m:e>
                      <m:sub>
                        <m:r>
                          <m:rPr/>
                          <w:rPr>
                            <w:rFonts w:ascii="Cambria Math" w:hAnsi="Cambria Math"/>
                          </w:rPr>
                          <m:t>L</m:t>
                        </m:r>
                        <m:ctrlPr>
                          <w:rPr>
                            <w:rFonts w:ascii="Cambria Math" w:hAnsi="Cambria Math"/>
                          </w:rPr>
                        </m:ctrlPr>
                      </m:sub>
                    </m:sSub>
                    <m:r>
                      <m:rPr/>
                      <w:rPr>
                        <w:rFonts w:hint="eastAsia" w:ascii="Cambria Math" w:hAnsi="Cambria Math" w:eastAsia="微软雅黑" w:cs="微软雅黑"/>
                      </w:rPr>
                      <m:t>−s</m:t>
                    </m:r>
                    <m:ctrlPr>
                      <w:rPr>
                        <w:rFonts w:ascii="Cambria Math" w:hAnsi="Cambria Math" w:eastAsia="黑体"/>
                        <w:i/>
                      </w:rPr>
                    </m:ctrlPr>
                  </m:e>
                  <m:sub>
                    <m:r>
                      <m:rPr/>
                      <w:rPr>
                        <w:rFonts w:hint="eastAsia" w:ascii="Cambria Math" w:hAnsi="Cambria Math" w:eastAsia="黑体"/>
                      </w:rPr>
                      <m:t>i</m:t>
                    </m:r>
                    <m:ctrlPr>
                      <w:rPr>
                        <w:rFonts w:ascii="Cambria Math" w:hAnsi="Cambria Math" w:eastAsia="黑体"/>
                        <w:i/>
                      </w:rPr>
                    </m:ctrlPr>
                  </m:sub>
                </m:sSub>
                <m:ctrlPr>
                  <w:rPr>
                    <w:rFonts w:ascii="Cambria Math" w:hAnsi="Cambria Math" w:eastAsia="黑体"/>
                    <w:i/>
                  </w:rPr>
                </m:ctrlPr>
              </m:num>
              <m:den>
                <m:sSub>
                  <m:sSubPr>
                    <m:ctrlPr>
                      <w:rPr>
                        <w:rFonts w:ascii="Cambria Math" w:hAnsi="Cambria Math"/>
                      </w:rPr>
                    </m:ctrlPr>
                  </m:sSubPr>
                  <m:e>
                    <m:r>
                      <m:rPr/>
                      <w:rPr>
                        <w:rFonts w:hint="eastAsia" w:ascii="Cambria Math" w:hAnsi="Cambria Math"/>
                      </w:rPr>
                      <m:t>S</m:t>
                    </m:r>
                    <m:ctrlPr>
                      <w:rPr>
                        <w:rFonts w:ascii="Cambria Math" w:hAnsi="Cambria Math"/>
                      </w:rPr>
                    </m:ctrlPr>
                  </m:e>
                  <m:sub>
                    <m:r>
                      <m:rPr/>
                      <w:rPr>
                        <w:rFonts w:ascii="Cambria Math" w:hAnsi="Cambria Math"/>
                      </w:rPr>
                      <m:t>L</m:t>
                    </m:r>
                    <m:ctrlPr>
                      <w:rPr>
                        <w:rFonts w:ascii="Cambria Math" w:hAnsi="Cambria Math"/>
                      </w:rPr>
                    </m:ctrlPr>
                  </m:sub>
                </m:sSub>
                <m:ctrlPr>
                  <w:rPr>
                    <w:rFonts w:ascii="Cambria Math" w:hAnsi="Cambria Math" w:eastAsia="黑体"/>
                    <w:i/>
                  </w:rPr>
                </m:ctrlPr>
              </m:den>
            </m:f>
            <m:r>
              <m:rPr/>
              <w:rPr>
                <w:rFonts w:hint="eastAsia" w:ascii="Cambria Math" w:hAnsi="Cambria Math" w:eastAsia="黑体"/>
              </w:rPr>
              <m:t>）</m:t>
            </m:r>
            <m:ctrlPr>
              <w:rPr>
                <w:rFonts w:ascii="Cambria Math" w:hAnsi="Cambria Math" w:eastAsia="黑体"/>
                <w:i/>
              </w:rPr>
            </m:ctrlPr>
          </m:e>
          <m:sup>
            <m:r>
              <m:rPr/>
              <w:rPr>
                <w:rFonts w:ascii="Cambria Math" w:hAnsi="Cambria Math" w:eastAsia="黑体"/>
              </w:rPr>
              <m:t>−2</m:t>
            </m:r>
            <m:ctrlPr>
              <w:rPr>
                <w:rFonts w:ascii="Cambria Math" w:hAnsi="Cambria Math" w:eastAsia="黑体"/>
                <w:i/>
              </w:rPr>
            </m:ctrlPr>
          </m:sup>
        </m:sSup>
        <m:r>
          <m:rPr>
            <m:sty m:val="p"/>
          </m:rPr>
          <w:rPr>
            <w:rFonts w:hint="eastAsia" w:ascii="Cambria Math" w:hAnsi="Cambria Math" w:eastAsia="黑体"/>
          </w:rPr>
          <m:t>，</m:t>
        </m:r>
        <m:r>
          <m:rPr>
            <m:sty m:val="p"/>
          </m:rPr>
          <w:rPr>
            <w:rFonts w:ascii="Cambria Math" w:hAnsi="Cambria Math" w:eastAsia="黑体"/>
          </w:rPr>
          <m:t xml:space="preserve">  (</m:t>
        </m:r>
        <m:sSub>
          <m:sSubPr>
            <m:ctrlPr>
              <w:rPr>
                <w:rFonts w:ascii="Cambria Math" w:hAnsi="Cambria Math"/>
              </w:rPr>
            </m:ctrlPr>
          </m:sSubPr>
          <m:e>
            <m:r>
              <m:rPr/>
              <w:rPr>
                <w:rFonts w:hint="eastAsia" w:ascii="Cambria Math" w:hAnsi="Cambria Math"/>
              </w:rPr>
              <m:t>s</m:t>
            </m:r>
            <m:ctrlPr>
              <w:rPr>
                <w:rFonts w:ascii="Cambria Math" w:hAnsi="Cambria Math"/>
              </w:rPr>
            </m:ctrlPr>
          </m:e>
          <m:sub>
            <m:r>
              <m:rPr/>
              <w:rPr>
                <w:rFonts w:ascii="Cambria Math" w:hAnsi="Cambria Math"/>
              </w:rPr>
              <m:t>i</m:t>
            </m:r>
            <m:ctrlPr>
              <w:rPr>
                <w:rFonts w:ascii="Cambria Math" w:hAnsi="Cambria Math"/>
              </w:rPr>
            </m:ctrlPr>
          </m:sub>
        </m:sSub>
        <m:r>
          <m:rPr>
            <m:sty m:val="p"/>
          </m:rPr>
          <w:rPr>
            <w:rFonts w:hint="eastAsia" w:ascii="Cambria Math" w:hAnsi="Cambria Math" w:eastAsia="黑体"/>
          </w:rPr>
          <m:t>&lt;</m:t>
        </m:r>
        <m:sSub>
          <m:sSubPr>
            <m:ctrlPr>
              <w:rPr>
                <w:rFonts w:ascii="Cambria Math" w:hAnsi="Cambria Math"/>
              </w:rPr>
            </m:ctrlPr>
          </m:sSubPr>
          <m:e>
            <m:r>
              <m:rPr/>
              <w:rPr>
                <w:rFonts w:hint="eastAsia" w:ascii="Cambria Math" w:hAnsi="Cambria Math"/>
              </w:rPr>
              <m:t>S</m:t>
            </m:r>
            <m:ctrlPr>
              <w:rPr>
                <w:rFonts w:ascii="Cambria Math" w:hAnsi="Cambria Math"/>
              </w:rPr>
            </m:ctrlPr>
          </m:e>
          <m:sub>
            <m:r>
              <m:rPr/>
              <w:rPr>
                <w:rFonts w:ascii="Cambria Math" w:hAnsi="Cambria Math"/>
              </w:rPr>
              <m:t>L</m:t>
            </m:r>
            <m:ctrlPr>
              <w:rPr>
                <w:rFonts w:ascii="Cambria Math" w:hAnsi="Cambria Math"/>
              </w:rPr>
            </m:ctrlPr>
          </m:sub>
        </m:sSub>
        <m:r>
          <m:rPr>
            <m:sty m:val="p"/>
          </m:rPr>
          <w:rPr>
            <w:rFonts w:ascii="Cambria Math" w:hAnsi="Cambria Math" w:eastAsia="黑体"/>
          </w:rPr>
          <m:t xml:space="preserve">) </m:t>
        </m:r>
      </m:oMath>
      <w:r>
        <w:rPr>
          <w:rFonts w:ascii="微软雅黑" w:hAnsi="微软雅黑" w:eastAsia="微软雅黑"/>
        </w:rPr>
        <w:tab/>
      </w:r>
      <w:r>
        <w:t>(</w:t>
      </w:r>
      <w:r>
        <w:fldChar w:fldCharType="begin"/>
      </w:r>
      <w:r>
        <w:instrText xml:space="preserve"> AUTONUM </w:instrText>
      </w:r>
      <w:r>
        <w:fldChar w:fldCharType="end"/>
      </w:r>
      <w:r>
        <w:t>)</w:t>
      </w:r>
    </w:p>
    <w:p w14:paraId="6766A551">
      <w:pPr>
        <w:snapToGrid w:val="0"/>
        <w:spacing w:line="240" w:lineRule="auto"/>
        <w:ind w:firstLine="420" w:firstLineChars="200"/>
      </w:pPr>
      <w:r>
        <w:rPr>
          <w:rFonts w:hint="eastAsia"/>
        </w:rPr>
        <w:t>式中：</w:t>
      </w:r>
    </w:p>
    <w:p w14:paraId="36E32C16">
      <w:pPr>
        <w:snapToGrid w:val="0"/>
        <w:spacing w:line="240" w:lineRule="auto"/>
        <w:ind w:firstLine="840" w:firstLineChars="400"/>
      </w:pPr>
      <m:oMath>
        <m:sSub>
          <m:sSubPr>
            <m:ctrlPr>
              <w:rPr>
                <w:rFonts w:ascii="Cambria Math" w:hAnsi="Cambria Math"/>
              </w:rPr>
            </m:ctrlPr>
          </m:sSubPr>
          <m:e>
            <m:r>
              <m:rPr/>
              <w:rPr>
                <w:rFonts w:ascii="Cambria Math" w:hAnsi="Cambria Math"/>
              </w:rPr>
              <m:t>w</m:t>
            </m:r>
            <m:ctrlPr>
              <w:rPr>
                <w:rFonts w:ascii="Cambria Math" w:hAnsi="Cambria Math"/>
              </w:rPr>
            </m:ctrlPr>
          </m:e>
          <m:sub>
            <m:r>
              <m:rPr/>
              <w:rPr>
                <w:rFonts w:ascii="Cambria Math" w:hAnsi="Cambria Math"/>
              </w:rPr>
              <m:t>i</m:t>
            </m:r>
            <m:ctrlPr>
              <w:rPr>
                <w:rFonts w:ascii="Cambria Math" w:hAnsi="Cambria Math"/>
              </w:rPr>
            </m:ctrlPr>
          </m:sub>
        </m:sSub>
      </m:oMath>
      <w:r>
        <w:rPr>
          <w:rFonts w:hint="eastAsia"/>
        </w:rPr>
        <w:t>——第</w:t>
      </w:r>
      <m:oMath>
        <m:r>
          <m:rPr/>
          <w:rPr>
            <w:rFonts w:hint="eastAsia" w:ascii="Cambria Math" w:hAnsi="Cambria Math"/>
          </w:rPr>
          <m:t>i</m:t>
        </m:r>
      </m:oMath>
      <w:r>
        <w:rPr>
          <w:rFonts w:hint="eastAsia"/>
        </w:rPr>
        <w:t>次蓝藻水华面积的影响权重系数；</w:t>
      </w:r>
    </w:p>
    <w:p w14:paraId="69B0A88C">
      <w:pPr>
        <w:snapToGrid w:val="0"/>
        <w:spacing w:line="240" w:lineRule="auto"/>
        <w:ind w:firstLine="840" w:firstLineChars="400"/>
      </w:pPr>
      <m:oMath>
        <m:sSub>
          <m:sSubPr>
            <m:ctrlPr>
              <w:rPr>
                <w:rFonts w:ascii="Cambria Math" w:hAnsi="Cambria Math"/>
              </w:rPr>
            </m:ctrlPr>
          </m:sSubPr>
          <m:e>
            <m:r>
              <m:rPr/>
              <w:rPr>
                <w:rFonts w:hint="eastAsia" w:ascii="Cambria Math" w:hAnsi="Cambria Math"/>
              </w:rPr>
              <m:t>S</m:t>
            </m:r>
            <m:ctrlPr>
              <w:rPr>
                <w:rFonts w:ascii="Cambria Math" w:hAnsi="Cambria Math"/>
              </w:rPr>
            </m:ctrlPr>
          </m:e>
          <m:sub>
            <m:r>
              <m:rPr/>
              <w:rPr>
                <w:rFonts w:ascii="Cambria Math" w:hAnsi="Cambria Math"/>
              </w:rPr>
              <m:t>L</m:t>
            </m:r>
            <m:ctrlPr>
              <w:rPr>
                <w:rFonts w:ascii="Cambria Math" w:hAnsi="Cambria Math"/>
              </w:rPr>
            </m:ctrlPr>
          </m:sub>
        </m:sSub>
      </m:oMath>
      <w:r>
        <w:rPr>
          <w:rFonts w:hint="eastAsia"/>
        </w:rPr>
        <w:t>——湖泊水面面积，单位为平方千米（</w:t>
      </w:r>
      <w:r>
        <w:rPr>
          <w:rFonts w:ascii="Times New Roman" w:hAnsi="Times New Roman"/>
        </w:rPr>
        <w:t>km</w:t>
      </w:r>
      <w:r>
        <w:rPr>
          <w:rFonts w:ascii="Times New Roman" w:hAnsi="Times New Roman"/>
          <w:vertAlign w:val="superscript"/>
        </w:rPr>
        <w:t>2</w:t>
      </w:r>
      <w:r>
        <w:rPr>
          <w:rFonts w:hint="eastAsia"/>
        </w:rPr>
        <w:t>）；</w:t>
      </w:r>
    </w:p>
    <w:p w14:paraId="3CCB3586">
      <w:pPr>
        <w:snapToGrid w:val="0"/>
        <w:spacing w:line="240" w:lineRule="auto"/>
        <w:ind w:firstLine="840" w:firstLineChars="400"/>
      </w:pPr>
      <m:oMath>
        <m:sSub>
          <m:sSubPr>
            <m:ctrlPr>
              <w:rPr>
                <w:rFonts w:ascii="Cambria Math" w:hAnsi="Cambria Math"/>
              </w:rPr>
            </m:ctrlPr>
          </m:sSubPr>
          <m:e>
            <m:r>
              <m:rPr/>
              <w:rPr>
                <w:rFonts w:hint="eastAsia" w:ascii="Cambria Math" w:hAnsi="Cambria Math"/>
              </w:rPr>
              <m:t>d</m:t>
            </m:r>
            <m:ctrlPr>
              <w:rPr>
                <w:rFonts w:ascii="Cambria Math" w:hAnsi="Cambria Math"/>
              </w:rPr>
            </m:ctrlPr>
          </m:e>
          <m:sub>
            <m:r>
              <m:rPr/>
              <w:rPr>
                <w:rFonts w:ascii="Cambria Math" w:hAnsi="Cambria Math"/>
              </w:rPr>
              <m:t>i</m:t>
            </m:r>
            <m:ctrlPr>
              <w:rPr>
                <w:rFonts w:ascii="Cambria Math" w:hAnsi="Cambria Math"/>
              </w:rPr>
            </m:ctrlPr>
          </m:sub>
        </m:sSub>
      </m:oMath>
      <w:r>
        <w:rPr>
          <w:rFonts w:hint="eastAsia"/>
        </w:rPr>
        <w:t>——第</w:t>
      </w:r>
      <m:oMath>
        <m:r>
          <m:rPr/>
          <w:rPr>
            <w:rFonts w:hint="eastAsia" w:ascii="Cambria Math" w:hAnsi="Cambria Math"/>
          </w:rPr>
          <m:t>i</m:t>
        </m:r>
      </m:oMath>
      <w:r>
        <w:rPr>
          <w:rFonts w:hint="eastAsia"/>
        </w:rPr>
        <w:t>次蓝藻水华面积</w:t>
      </w:r>
      <m:oMath>
        <m:sSub>
          <m:sSubPr>
            <m:ctrlPr>
              <w:rPr>
                <w:rFonts w:ascii="Cambria Math" w:hAnsi="Cambria Math"/>
              </w:rPr>
            </m:ctrlPr>
          </m:sSubPr>
          <m:e>
            <m:r>
              <m:rPr/>
              <w:rPr>
                <w:rFonts w:hint="eastAsia" w:ascii="Cambria Math" w:hAnsi="Cambria Math"/>
              </w:rPr>
              <m:t>s</m:t>
            </m:r>
            <m:ctrlPr>
              <w:rPr>
                <w:rFonts w:ascii="Cambria Math" w:hAnsi="Cambria Math"/>
              </w:rPr>
            </m:ctrlPr>
          </m:e>
          <m:sub>
            <m:r>
              <m:rPr/>
              <w:rPr>
                <w:rFonts w:ascii="Cambria Math" w:hAnsi="Cambria Math"/>
              </w:rPr>
              <m:t>i</m:t>
            </m:r>
            <m:ctrlPr>
              <w:rPr>
                <w:rFonts w:ascii="Cambria Math" w:hAnsi="Cambria Math"/>
              </w:rPr>
            </m:ctrlPr>
          </m:sub>
        </m:sSub>
      </m:oMath>
      <w:r>
        <w:rPr>
          <w:rFonts w:hint="eastAsia"/>
        </w:rPr>
        <w:t>与湖泊水面面积</w:t>
      </w:r>
      <m:oMath>
        <m:sSub>
          <m:sSubPr>
            <m:ctrlPr>
              <w:rPr>
                <w:rFonts w:ascii="Cambria Math" w:hAnsi="Cambria Math"/>
              </w:rPr>
            </m:ctrlPr>
          </m:sSubPr>
          <m:e>
            <m:r>
              <m:rPr/>
              <w:rPr>
                <w:rFonts w:hint="eastAsia" w:ascii="Cambria Math" w:hAnsi="Cambria Math"/>
              </w:rPr>
              <m:t>S</m:t>
            </m:r>
            <m:ctrlPr>
              <w:rPr>
                <w:rFonts w:ascii="Cambria Math" w:hAnsi="Cambria Math"/>
              </w:rPr>
            </m:ctrlPr>
          </m:e>
          <m:sub>
            <m:r>
              <m:rPr/>
              <w:rPr>
                <w:rFonts w:ascii="Cambria Math" w:hAnsi="Cambria Math"/>
              </w:rPr>
              <m:t>L</m:t>
            </m:r>
            <m:ctrlPr>
              <w:rPr>
                <w:rFonts w:ascii="Cambria Math" w:hAnsi="Cambria Math"/>
              </w:rPr>
            </m:ctrlPr>
          </m:sub>
        </m:sSub>
      </m:oMath>
      <w:r>
        <w:rPr>
          <w:rFonts w:hint="eastAsia"/>
        </w:rPr>
        <w:t>的相对差。</w:t>
      </w:r>
    </w:p>
    <w:p w14:paraId="4E1CDD9C">
      <w:pPr>
        <w:snapToGrid w:val="0"/>
        <w:spacing w:line="240" w:lineRule="auto"/>
        <w:ind w:firstLine="420" w:firstLineChars="200"/>
      </w:pPr>
      <w:r>
        <w:rPr>
          <w:rFonts w:hint="eastAsia"/>
        </w:rPr>
        <w:t>蓝藻水华影响面积的计算公式为：</w:t>
      </w:r>
    </w:p>
    <w:p w14:paraId="5A091D4D">
      <w:pPr>
        <w:pStyle w:val="113"/>
      </w:pPr>
      <w:r>
        <w:tab/>
      </w:r>
      <m:oMath>
        <m:sSub>
          <m:sSubPr>
            <m:ctrlPr>
              <w:rPr>
                <w:rFonts w:ascii="Cambria Math" w:hAnsi="Cambria Math"/>
              </w:rPr>
            </m:ctrlPr>
          </m:sSubPr>
          <m:e>
            <m:r>
              <m:rPr/>
              <w:rPr>
                <w:rFonts w:ascii="Cambria Math" w:hAnsi="Cambria Math"/>
              </w:rPr>
              <m:t>s</m:t>
            </m:r>
            <m:ctrlPr>
              <w:rPr>
                <w:rFonts w:ascii="Cambria Math" w:hAnsi="Cambria Math"/>
              </w:rPr>
            </m:ctrlPr>
          </m:e>
          <m:sub>
            <m:r>
              <m:rPr/>
              <w:rPr>
                <w:rFonts w:ascii="Cambria Math" w:hAnsi="Cambria Math"/>
              </w:rPr>
              <m:t>w,i</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hint="eastAsia" w:ascii="Cambria Math" w:hAnsi="Cambria Math"/>
              </w:rPr>
              <m:t>w</m:t>
            </m:r>
            <m:ctrlPr>
              <w:rPr>
                <w:rFonts w:ascii="Cambria Math" w:hAnsi="Cambria Math"/>
                <w:i/>
              </w:rPr>
            </m:ctrlPr>
          </m:e>
          <m:sub>
            <m:r>
              <m:rPr/>
              <w:rPr>
                <w:rFonts w:hint="eastAsia" w:ascii="Cambria Math" w:hAnsi="Cambria Math"/>
              </w:rPr>
              <m:t>i</m:t>
            </m:r>
            <m:ctrlPr>
              <w:rPr>
                <w:rFonts w:ascii="Cambria Math" w:hAnsi="Cambria Math"/>
                <w:i/>
              </w:rPr>
            </m:ctrlPr>
          </m:sub>
        </m:sSub>
        <m:r>
          <m:rPr/>
          <w:rPr>
            <w:rFonts w:hint="eastAsia" w:ascii="Cambria Math" w:hAnsi="Cambria Math"/>
          </w:rPr>
          <m:t>×</m:t>
        </m:r>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i</m:t>
            </m:r>
            <m:ctrlPr>
              <w:rPr>
                <w:rFonts w:ascii="Cambria Math" w:hAnsi="Cambria Math"/>
                <w:i/>
              </w:rPr>
            </m:ctrlPr>
          </m:sub>
        </m:sSub>
      </m:oMath>
      <w:r>
        <w:rPr>
          <w:rFonts w:ascii="微软雅黑" w:hAnsi="微软雅黑" w:eastAsia="微软雅黑"/>
        </w:rPr>
        <w:tab/>
      </w:r>
      <w:r>
        <w:t>(</w:t>
      </w:r>
      <w:r>
        <w:fldChar w:fldCharType="begin"/>
      </w:r>
      <w:r>
        <w:instrText xml:space="preserve"> AUTONUM </w:instrText>
      </w:r>
      <w:r>
        <w:fldChar w:fldCharType="end"/>
      </w:r>
      <w:r>
        <w:t>)</w:t>
      </w:r>
    </w:p>
    <w:p w14:paraId="73599B3A">
      <w:pPr>
        <w:pStyle w:val="55"/>
        <w:ind w:firstLine="420"/>
      </w:pPr>
      <w:r>
        <w:rPr>
          <w:rFonts w:hint="eastAsia"/>
        </w:rPr>
        <w:t>式中：</w:t>
      </w:r>
    </w:p>
    <w:p w14:paraId="32C57695">
      <w:pPr>
        <w:snapToGrid w:val="0"/>
        <w:spacing w:line="240" w:lineRule="auto"/>
        <w:ind w:firstLine="840" w:firstLineChars="400"/>
      </w:pPr>
      <m:oMath>
        <m:sSub>
          <m:sSubPr>
            <m:ctrlPr>
              <w:rPr>
                <w:rFonts w:ascii="Cambria Math" w:hAnsi="Cambria Math"/>
              </w:rPr>
            </m:ctrlPr>
          </m:sSubPr>
          <m:e>
            <m:r>
              <m:rPr/>
              <w:rPr>
                <w:rFonts w:hint="eastAsia" w:ascii="Cambria Math" w:hAnsi="Cambria Math"/>
              </w:rPr>
              <m:t>s</m:t>
            </m:r>
            <m:ctrlPr>
              <w:rPr>
                <w:rFonts w:ascii="Cambria Math" w:hAnsi="Cambria Math"/>
              </w:rPr>
            </m:ctrlPr>
          </m:e>
          <m:sub>
            <m:r>
              <m:rPr/>
              <w:rPr>
                <w:rFonts w:ascii="Cambria Math" w:hAnsi="Cambria Math"/>
              </w:rPr>
              <m:t>w,i</m:t>
            </m:r>
            <m:ctrlPr>
              <w:rPr>
                <w:rFonts w:ascii="Cambria Math" w:hAnsi="Cambria Math"/>
              </w:rPr>
            </m:ctrlPr>
          </m:sub>
        </m:sSub>
      </m:oMath>
      <w:r>
        <w:rPr>
          <w:rFonts w:hint="eastAsia"/>
        </w:rPr>
        <w:t>——第</w:t>
      </w:r>
      <m:oMath>
        <m:r>
          <m:rPr/>
          <w:rPr>
            <w:rFonts w:hint="eastAsia" w:ascii="Cambria Math" w:hAnsi="Cambria Math"/>
          </w:rPr>
          <m:t>i</m:t>
        </m:r>
      </m:oMath>
      <w:r>
        <w:rPr>
          <w:rFonts w:hint="eastAsia"/>
        </w:rPr>
        <w:t>次蓝藻水华影响面积，单位为平方千米（</w:t>
      </w:r>
      <w:r>
        <w:rPr>
          <w:rFonts w:ascii="Times New Roman" w:hAnsi="Times New Roman"/>
        </w:rPr>
        <w:t>km</w:t>
      </w:r>
      <w:r>
        <w:rPr>
          <w:rFonts w:ascii="Times New Roman" w:hAnsi="Times New Roman"/>
          <w:vertAlign w:val="superscript"/>
        </w:rPr>
        <w:t>2</w:t>
      </w:r>
      <w:r>
        <w:rPr>
          <w:rFonts w:hint="eastAsia"/>
        </w:rPr>
        <w:t>）。</w:t>
      </w:r>
    </w:p>
    <w:p w14:paraId="47C5875C">
      <w:pPr>
        <w:pStyle w:val="55"/>
        <w:ind w:firstLine="420"/>
      </w:pPr>
      <w:r>
        <w:rPr>
          <w:rFonts w:hint="eastAsia"/>
        </w:rPr>
        <w:t>年累计蓝藻水华影响面积的计算公式为：</w:t>
      </w:r>
    </w:p>
    <w:p w14:paraId="670B4240">
      <w:pPr>
        <w:pStyle w:val="113"/>
        <w:ind w:firstLine="3990" w:firstLineChars="1900"/>
      </w:pPr>
      <m:oMath>
        <m:sSub>
          <m:sSubPr>
            <m:ctrlPr>
              <w:rPr>
                <w:rFonts w:ascii="Cambria Math" w:hAnsi="Cambria Math"/>
                <w:i/>
              </w:rPr>
            </m:ctrlPr>
          </m:sSubPr>
          <m:e>
            <m:r>
              <m:rPr/>
              <w:rPr>
                <w:rFonts w:hint="eastAsia" w:ascii="Cambria Math" w:hAnsi="Cambria Math"/>
              </w:rPr>
              <m:t>S</m:t>
            </m:r>
            <m:ctrlPr>
              <w:rPr>
                <w:rFonts w:ascii="Cambria Math" w:hAnsi="Cambria Math"/>
                <w:i/>
              </w:rPr>
            </m:ctrlPr>
          </m:e>
          <m:sub>
            <m:r>
              <m:rPr/>
              <w:rPr>
                <w:rFonts w:hint="eastAsia" w:ascii="Cambria Math" w:hAnsi="Cambria Math"/>
              </w:rPr>
              <m:t>y</m:t>
            </m:r>
            <m:ctrlPr>
              <w:rPr>
                <w:rFonts w:ascii="Cambria Math" w:hAnsi="Cambria Math"/>
                <w:i/>
              </w:rPr>
            </m:ctrlPr>
          </m:sub>
        </m:sSub>
        <m:r>
          <m:rPr>
            <m:sty m:val="p"/>
          </m:rPr>
          <w:rPr>
            <w:rFonts w:ascii="Cambria Math" w:hAnsi="Cambria Math"/>
          </w:rPr>
          <m:t>=</m:t>
        </m:r>
        <m:nary>
          <m:naryPr>
            <m:chr m:val="∑"/>
            <m:limLoc m:val="subSup"/>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F</m:t>
            </m:r>
            <m:ctrlPr>
              <w:rPr>
                <w:rFonts w:ascii="Cambria Math" w:hAnsi="Cambria Math"/>
              </w:rPr>
            </m:ctrlPr>
          </m:sup>
          <m:e>
            <m:sSub>
              <m:sSubPr>
                <m:ctrlPr>
                  <w:rPr>
                    <w:rFonts w:ascii="Cambria Math" w:hAnsi="Cambria Math"/>
                    <w:i/>
                  </w:rPr>
                </m:ctrlPr>
              </m:sSubPr>
              <m:e>
                <m:r>
                  <m:rPr/>
                  <w:rPr>
                    <w:rFonts w:hint="eastAsia" w:ascii="Cambria Math" w:hAnsi="Cambria Math"/>
                  </w:rPr>
                  <m:t>s</m:t>
                </m:r>
                <m:ctrlPr>
                  <w:rPr>
                    <w:rFonts w:ascii="Cambria Math" w:hAnsi="Cambria Math"/>
                    <w:i/>
                  </w:rPr>
                </m:ctrlPr>
              </m:e>
              <m:sub>
                <m:r>
                  <m:rPr/>
                  <w:rPr>
                    <w:rFonts w:ascii="Cambria Math" w:hAnsi="Cambria Math"/>
                  </w:rPr>
                  <m:t>w,i</m:t>
                </m:r>
                <m:ctrlPr>
                  <w:rPr>
                    <w:rFonts w:ascii="Cambria Math" w:hAnsi="Cambria Math"/>
                    <w:i/>
                  </w:rPr>
                </m:ctrlPr>
              </m:sub>
            </m:sSub>
            <m:ctrlPr>
              <w:rPr>
                <w:rFonts w:ascii="Cambria Math" w:hAnsi="Cambria Math"/>
              </w:rPr>
            </m:ctrlPr>
          </m:e>
        </m:nary>
      </m:oMath>
      <w:r>
        <w:rPr>
          <w:rFonts w:ascii="微软雅黑" w:hAnsi="微软雅黑" w:eastAsia="微软雅黑"/>
        </w:rPr>
        <w:tab/>
      </w:r>
      <w:r>
        <w:t>(</w:t>
      </w:r>
      <w:r>
        <w:fldChar w:fldCharType="begin"/>
      </w:r>
      <w:r>
        <w:instrText xml:space="preserve"> AUTONUM </w:instrText>
      </w:r>
      <w:r>
        <w:fldChar w:fldCharType="end"/>
      </w:r>
      <w:r>
        <w:t>)</w:t>
      </w:r>
    </w:p>
    <w:p w14:paraId="3AA44E54">
      <w:pPr>
        <w:snapToGrid w:val="0"/>
        <w:spacing w:line="240" w:lineRule="auto"/>
        <w:ind w:firstLine="420" w:firstLineChars="200"/>
      </w:pPr>
      <w:r>
        <w:rPr>
          <w:rFonts w:hint="eastAsia"/>
        </w:rPr>
        <w:t>式中：</w:t>
      </w:r>
    </w:p>
    <w:p w14:paraId="46765C5B">
      <w:pPr>
        <w:snapToGrid w:val="0"/>
        <w:spacing w:line="240" w:lineRule="auto"/>
        <w:ind w:firstLine="840" w:firstLineChars="400"/>
      </w:pPr>
      <m:oMath>
        <m:sSub>
          <m:sSubPr>
            <m:ctrlPr>
              <w:rPr>
                <w:rFonts w:ascii="Cambria Math" w:hAnsi="Cambria Math"/>
              </w:rPr>
            </m:ctrlPr>
          </m:sSubPr>
          <m:e>
            <m:r>
              <m:rPr/>
              <w:rPr>
                <w:rFonts w:hint="eastAsia" w:ascii="Cambria Math" w:hAnsi="Cambria Math"/>
              </w:rPr>
              <m:t>S</m:t>
            </m:r>
            <m:ctrlPr>
              <w:rPr>
                <w:rFonts w:ascii="Cambria Math" w:hAnsi="Cambria Math"/>
              </w:rPr>
            </m:ctrlPr>
          </m:e>
          <m:sub>
            <m:r>
              <m:rPr/>
              <w:rPr>
                <w:rFonts w:hint="eastAsia" w:ascii="Cambria Math" w:hAnsi="Cambria Math"/>
              </w:rPr>
              <m:t>y</m:t>
            </m:r>
            <m:ctrlPr>
              <w:rPr>
                <w:rFonts w:ascii="Cambria Math" w:hAnsi="Cambria Math"/>
              </w:rPr>
            </m:ctrlPr>
          </m:sub>
        </m:sSub>
      </m:oMath>
      <w:r>
        <w:rPr>
          <w:rFonts w:hint="eastAsia"/>
        </w:rPr>
        <w:t>——年累计蓝藻水华影响面积，单位为平方千米（</w:t>
      </w:r>
      <w:r>
        <w:rPr>
          <w:rFonts w:ascii="Times New Roman" w:hAnsi="Times New Roman"/>
        </w:rPr>
        <w:t>km</w:t>
      </w:r>
      <w:r>
        <w:rPr>
          <w:rFonts w:ascii="Times New Roman" w:hAnsi="Times New Roman"/>
          <w:vertAlign w:val="superscript"/>
        </w:rPr>
        <w:t>2</w:t>
      </w:r>
      <w:r>
        <w:rPr>
          <w:rFonts w:hint="eastAsia"/>
        </w:rPr>
        <w:t>）；</w:t>
      </w:r>
    </w:p>
    <w:p w14:paraId="2BFE4B07">
      <w:pPr>
        <w:snapToGrid w:val="0"/>
        <w:spacing w:line="240" w:lineRule="auto"/>
        <w:ind w:firstLine="840" w:firstLineChars="400"/>
      </w:pPr>
      <m:oMath>
        <m:sSub>
          <m:sSubPr>
            <m:ctrlPr>
              <w:rPr>
                <w:rFonts w:ascii="Cambria Math" w:hAnsi="Cambria Math"/>
                <w:i/>
              </w:rPr>
            </m:ctrlPr>
          </m:sSubPr>
          <m:e>
            <m:r>
              <m:rPr/>
              <w:rPr>
                <w:rFonts w:ascii="Cambria Math" w:hAnsi="Cambria Math"/>
              </w:rPr>
              <m:t>F</m:t>
            </m:r>
            <m:ctrlPr>
              <w:rPr>
                <w:rFonts w:ascii="Cambria Math" w:hAnsi="Cambria Math"/>
                <w:i/>
              </w:rPr>
            </m:ctrlPr>
          </m:e>
          <m:sub>
            <m:r>
              <m:rPr/>
              <w:rPr>
                <w:rFonts w:ascii="Cambria Math" w:hAnsi="Cambria Math"/>
              </w:rPr>
              <m:t>y</m:t>
            </m:r>
            <m:ctrlPr>
              <w:rPr>
                <w:rFonts w:ascii="Cambria Math" w:hAnsi="Cambria Math"/>
                <w:i/>
              </w:rPr>
            </m:ctrlPr>
          </m:sub>
        </m:sSub>
      </m:oMath>
      <w:r>
        <w:rPr>
          <w:rFonts w:hint="eastAsia"/>
        </w:rPr>
        <w:t>——年累计蓝藻水华次数。</w:t>
      </w:r>
    </w:p>
    <w:p w14:paraId="61561F53">
      <w:pPr>
        <w:pStyle w:val="105"/>
        <w:spacing w:before="156" w:after="156"/>
        <w:ind w:left="0"/>
      </w:pPr>
      <w:bookmarkStart w:id="90" w:name="_Toc176940623"/>
      <w:bookmarkStart w:id="91" w:name="_Toc176942026"/>
      <w:bookmarkStart w:id="92" w:name="_Toc176941219"/>
      <w:bookmarkStart w:id="93" w:name="_Toc177716130"/>
      <w:bookmarkStart w:id="94" w:name="_Toc176942299"/>
      <w:r>
        <w:rPr>
          <w:rFonts w:hint="eastAsia"/>
        </w:rPr>
        <w:t>蓝藻水华强度指数计算</w:t>
      </w:r>
      <w:bookmarkEnd w:id="90"/>
      <w:bookmarkEnd w:id="91"/>
      <w:bookmarkEnd w:id="92"/>
      <w:bookmarkEnd w:id="93"/>
      <w:bookmarkEnd w:id="94"/>
    </w:p>
    <w:p w14:paraId="33652A39">
      <w:pPr>
        <w:pStyle w:val="65"/>
        <w:spacing w:before="156" w:after="156"/>
      </w:pPr>
      <w:r>
        <w:rPr>
          <w:rFonts w:hint="eastAsia"/>
        </w:rPr>
        <w:t>确定权重系数</w:t>
      </w:r>
    </w:p>
    <w:p w14:paraId="5BCBEAF6">
      <w:pPr>
        <w:pStyle w:val="56"/>
        <w:ind w:firstLine="420"/>
      </w:pPr>
      <w:r>
        <w:rPr>
          <w:rFonts w:hint="eastAsia"/>
        </w:rPr>
        <w:t>采用信息量权数法来确定蓝藻水华影响面积和次数的权重，计算公式为：</w:t>
      </w:r>
      <w:r>
        <w:t xml:space="preserve"> </w:t>
      </w:r>
    </w:p>
    <w:p w14:paraId="5ED18170">
      <w:pPr>
        <w:pStyle w:val="113"/>
        <w:tabs>
          <w:tab w:val="left" w:pos="4253"/>
        </w:tabs>
      </w:pPr>
      <w:r>
        <w:tab/>
      </w:r>
      <m:oMath>
        <m:r>
          <m:rPr/>
          <w:rPr>
            <w:rFonts w:ascii="Cambria Math" w:hAnsi="Cambria Math"/>
          </w:rPr>
          <m:t>A</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m:rPr/>
                  <w:rPr>
                    <w:rFonts w:ascii="Cambria Math" w:hAnsi="Cambria Math"/>
                  </w:rPr>
                  <m:t>V</m:t>
                </m:r>
                <m:ctrlPr>
                  <w:rPr>
                    <w:rFonts w:ascii="Cambria Math" w:hAnsi="Cambria Math"/>
                    <w:i/>
                  </w:rPr>
                </m:ctrlPr>
              </m:e>
              <m:sub>
                <m:sSub>
                  <m:sSubPr>
                    <m:ctrlPr>
                      <w:rPr>
                        <w:rFonts w:ascii="Cambria Math" w:hAnsi="Cambria Math"/>
                      </w:rPr>
                    </m:ctrlPr>
                  </m:sSubPr>
                  <m:e>
                    <m:r>
                      <m:rPr>
                        <m:sty m:val="p"/>
                      </m:rPr>
                      <w:rPr>
                        <w:rFonts w:ascii="Cambria Math" w:hAnsi="Cambria Math"/>
                      </w:rPr>
                      <m:t>S</m:t>
                    </m:r>
                    <m:ctrlPr>
                      <w:rPr>
                        <w:rFonts w:ascii="Cambria Math" w:hAnsi="Cambria Math"/>
                      </w:rPr>
                    </m:ctrlPr>
                  </m:e>
                  <m:sub>
                    <m:r>
                      <m:rPr>
                        <m:sty m:val="p"/>
                      </m:rPr>
                      <w:rPr>
                        <w:rFonts w:ascii="Cambria Math" w:hAnsi="Cambria Math"/>
                      </w:rPr>
                      <m:t>y</m:t>
                    </m:r>
                    <m:ctrlPr>
                      <w:rPr>
                        <w:rFonts w:ascii="Cambria Math" w:hAnsi="Cambria Math"/>
                      </w:rPr>
                    </m:ctrlPr>
                  </m:sub>
                </m:sSub>
                <m:ctrlPr>
                  <w:rPr>
                    <w:rFonts w:ascii="Cambria Math" w:hAnsi="Cambria Math"/>
                    <w:i/>
                  </w:rPr>
                </m:ctrlPr>
              </m:sub>
            </m:sSub>
            <m:ctrlPr>
              <w:rPr>
                <w:rFonts w:ascii="Cambria Math" w:hAnsi="Cambria Math"/>
              </w:rPr>
            </m:ctrlPr>
          </m:num>
          <m:den>
            <m:sSub>
              <m:sSubPr>
                <m:ctrlPr>
                  <w:rPr>
                    <w:rFonts w:ascii="Cambria Math" w:hAnsi="Cambria Math"/>
                    <w:i/>
                  </w:rPr>
                </m:ctrlPr>
              </m:sSubPr>
              <m:e>
                <m:r>
                  <m:rPr/>
                  <w:rPr>
                    <w:rFonts w:ascii="Cambria Math" w:hAnsi="Cambria Math"/>
                  </w:rPr>
                  <m:t>V</m:t>
                </m:r>
                <m:ctrlPr>
                  <w:rPr>
                    <w:rFonts w:ascii="Cambria Math" w:hAnsi="Cambria Math"/>
                    <w:i/>
                  </w:rPr>
                </m:ctrlPr>
              </m:e>
              <m:sub>
                <m:sSub>
                  <m:sSubPr>
                    <m:ctrlPr>
                      <w:rPr>
                        <w:rFonts w:ascii="Cambria Math" w:hAnsi="Cambria Math"/>
                      </w:rPr>
                    </m:ctrlPr>
                  </m:sSubPr>
                  <m:e>
                    <m:r>
                      <m:rPr>
                        <m:sty m:val="p"/>
                      </m:rPr>
                      <w:rPr>
                        <w:rFonts w:ascii="Cambria Math" w:hAnsi="Cambria Math"/>
                      </w:rPr>
                      <m:t>S</m:t>
                    </m:r>
                    <m:ctrlPr>
                      <w:rPr>
                        <w:rFonts w:ascii="Cambria Math" w:hAnsi="Cambria Math"/>
                      </w:rPr>
                    </m:ctrlPr>
                  </m:e>
                  <m:sub>
                    <m:r>
                      <m:rPr>
                        <m:sty m:val="p"/>
                      </m:rPr>
                      <w:rPr>
                        <w:rFonts w:ascii="Cambria Math" w:hAnsi="Cambria Math"/>
                      </w:rPr>
                      <m:t>y</m:t>
                    </m:r>
                    <m:ctrlPr>
                      <w:rPr>
                        <w:rFonts w:ascii="Cambria Math" w:hAnsi="Cambria Math"/>
                      </w:rPr>
                    </m:ctrlPr>
                  </m:sub>
                </m:sSub>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V</m:t>
                </m:r>
                <m:ctrlPr>
                  <w:rPr>
                    <w:rFonts w:ascii="Cambria Math" w:hAnsi="Cambria Math"/>
                    <w:i/>
                  </w:rPr>
                </m:ctrlPr>
              </m:e>
              <m:sub>
                <m:sSub>
                  <m:sSubPr>
                    <m:ctrlPr>
                      <w:rPr>
                        <w:rFonts w:ascii="Cambria Math" w:hAnsi="Cambria Math"/>
                      </w:rPr>
                    </m:ctrlPr>
                  </m:sSubPr>
                  <m:e>
                    <m:r>
                      <m:rPr>
                        <m:sty m:val="p"/>
                      </m:rPr>
                      <w:rPr>
                        <w:rFonts w:ascii="Cambria Math" w:hAnsi="Cambria Math"/>
                      </w:rPr>
                      <m:t>F</m:t>
                    </m:r>
                    <m:ctrlPr>
                      <w:rPr>
                        <w:rFonts w:ascii="Cambria Math" w:hAnsi="Cambria Math"/>
                      </w:rPr>
                    </m:ctrlPr>
                  </m:e>
                  <m:sub>
                    <m:r>
                      <m:rPr>
                        <m:sty m:val="p"/>
                      </m:rPr>
                      <w:rPr>
                        <w:rFonts w:ascii="Cambria Math" w:hAnsi="Cambria Math"/>
                      </w:rPr>
                      <m:t>y</m:t>
                    </m:r>
                    <m:ctrlPr>
                      <w:rPr>
                        <w:rFonts w:ascii="Cambria Math" w:hAnsi="Cambria Math"/>
                      </w:rPr>
                    </m:ctrlPr>
                  </m:sub>
                </m:sSub>
                <m:ctrlPr>
                  <w:rPr>
                    <w:rFonts w:ascii="Cambria Math" w:hAnsi="Cambria Math"/>
                    <w:i/>
                  </w:rPr>
                </m:ctrlPr>
              </m:sub>
            </m:sSub>
            <m:ctrlPr>
              <w:rPr>
                <w:rFonts w:ascii="Cambria Math" w:hAnsi="Cambria Math"/>
              </w:rPr>
            </m:ctrlPr>
          </m:den>
        </m:f>
      </m:oMath>
      <w:r>
        <w:rPr>
          <w:rFonts w:ascii="微软雅黑" w:hAnsi="微软雅黑" w:eastAsia="微软雅黑"/>
        </w:rPr>
        <w:tab/>
      </w:r>
      <w:r>
        <w:t>(</w:t>
      </w:r>
      <w:r>
        <w:fldChar w:fldCharType="begin"/>
      </w:r>
      <w:r>
        <w:instrText xml:space="preserve"> AUTONUM </w:instrText>
      </w:r>
      <w:r>
        <w:fldChar w:fldCharType="end"/>
      </w:r>
      <w:r>
        <w:t>)</w:t>
      </w:r>
    </w:p>
    <w:p w14:paraId="6FA40B94">
      <w:pPr>
        <w:pStyle w:val="113"/>
        <w:ind w:firstLine="4252" w:firstLineChars="2025"/>
      </w:pPr>
      <m:oMath>
        <m:r>
          <m:rPr/>
          <w:rPr>
            <w:rFonts w:ascii="Cambria Math" w:hAnsi="Cambria Math"/>
          </w:rPr>
          <m:t>B</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m:rPr/>
                  <w:rPr>
                    <w:rFonts w:ascii="Cambria Math" w:hAnsi="Cambria Math"/>
                  </w:rPr>
                  <m:t>V</m:t>
                </m:r>
                <m:ctrlPr>
                  <w:rPr>
                    <w:rFonts w:ascii="Cambria Math" w:hAnsi="Cambria Math"/>
                    <w:i/>
                  </w:rPr>
                </m:ctrlPr>
              </m:e>
              <m:sub>
                <m:sSub>
                  <m:sSubPr>
                    <m:ctrlPr>
                      <w:rPr>
                        <w:rFonts w:ascii="Cambria Math" w:hAnsi="Cambria Math"/>
                      </w:rPr>
                    </m:ctrlPr>
                  </m:sSubPr>
                  <m:e>
                    <m:r>
                      <m:rPr>
                        <m:sty m:val="p"/>
                      </m:rPr>
                      <w:rPr>
                        <w:rFonts w:ascii="Cambria Math" w:hAnsi="Cambria Math"/>
                      </w:rPr>
                      <m:t>F</m:t>
                    </m:r>
                    <m:ctrlPr>
                      <w:rPr>
                        <w:rFonts w:ascii="Cambria Math" w:hAnsi="Cambria Math"/>
                      </w:rPr>
                    </m:ctrlPr>
                  </m:e>
                  <m:sub>
                    <m:r>
                      <m:rPr>
                        <m:sty m:val="p"/>
                      </m:rPr>
                      <w:rPr>
                        <w:rFonts w:ascii="Cambria Math" w:hAnsi="Cambria Math"/>
                      </w:rPr>
                      <m:t>y</m:t>
                    </m:r>
                    <m:ctrlPr>
                      <w:rPr>
                        <w:rFonts w:ascii="Cambria Math" w:hAnsi="Cambria Math"/>
                      </w:rPr>
                    </m:ctrlPr>
                  </m:sub>
                </m:sSub>
                <m:ctrlPr>
                  <w:rPr>
                    <w:rFonts w:ascii="Cambria Math" w:hAnsi="Cambria Math"/>
                    <w:i/>
                  </w:rPr>
                </m:ctrlPr>
              </m:sub>
            </m:sSub>
            <m:ctrlPr>
              <w:rPr>
                <w:rFonts w:ascii="Cambria Math" w:hAnsi="Cambria Math"/>
              </w:rPr>
            </m:ctrlPr>
          </m:num>
          <m:den>
            <m:sSub>
              <m:sSubPr>
                <m:ctrlPr>
                  <w:rPr>
                    <w:rFonts w:ascii="Cambria Math" w:hAnsi="Cambria Math"/>
                    <w:i/>
                  </w:rPr>
                </m:ctrlPr>
              </m:sSubPr>
              <m:e>
                <m:sSub>
                  <m:sSubPr>
                    <m:ctrlPr>
                      <w:rPr>
                        <w:rFonts w:ascii="Cambria Math" w:hAnsi="Cambria Math"/>
                        <w:i/>
                      </w:rPr>
                    </m:ctrlPr>
                  </m:sSubPr>
                  <m:e>
                    <m:r>
                      <m:rPr/>
                      <w:rPr>
                        <w:rFonts w:ascii="Cambria Math" w:hAnsi="Cambria Math"/>
                      </w:rPr>
                      <m:t>V</m:t>
                    </m:r>
                    <m:ctrlPr>
                      <w:rPr>
                        <w:rFonts w:ascii="Cambria Math" w:hAnsi="Cambria Math"/>
                        <w:i/>
                      </w:rPr>
                    </m:ctrlPr>
                  </m:e>
                  <m:sub>
                    <m:sSub>
                      <m:sSubPr>
                        <m:ctrlPr>
                          <w:rPr>
                            <w:rFonts w:ascii="Cambria Math" w:hAnsi="Cambria Math"/>
                          </w:rPr>
                        </m:ctrlPr>
                      </m:sSubPr>
                      <m:e>
                        <m:r>
                          <m:rPr>
                            <m:sty m:val="p"/>
                          </m:rPr>
                          <w:rPr>
                            <w:rFonts w:ascii="Cambria Math" w:hAnsi="Cambria Math"/>
                          </w:rPr>
                          <m:t>S</m:t>
                        </m:r>
                        <m:ctrlPr>
                          <w:rPr>
                            <w:rFonts w:ascii="Cambria Math" w:hAnsi="Cambria Math"/>
                          </w:rPr>
                        </m:ctrlPr>
                      </m:e>
                      <m:sub>
                        <m:r>
                          <m:rPr>
                            <m:sty m:val="p"/>
                          </m:rPr>
                          <w:rPr>
                            <w:rFonts w:ascii="Cambria Math" w:hAnsi="Cambria Math"/>
                          </w:rPr>
                          <m:t>y</m:t>
                        </m:r>
                        <m:ctrlPr>
                          <w:rPr>
                            <w:rFonts w:ascii="Cambria Math" w:hAnsi="Cambria Math"/>
                          </w:rPr>
                        </m:ctrlPr>
                      </m:sub>
                    </m:sSub>
                    <m:ctrlPr>
                      <w:rPr>
                        <w:rFonts w:ascii="Cambria Math" w:hAnsi="Cambria Math"/>
                        <w:i/>
                      </w:rPr>
                    </m:ctrlPr>
                  </m:sub>
                </m:sSub>
                <m:r>
                  <m:rPr/>
                  <w:rPr>
                    <w:rFonts w:ascii="Cambria Math" w:hAnsi="Cambria Math"/>
                  </w:rPr>
                  <m:t>+V</m:t>
                </m:r>
                <m:ctrlPr>
                  <w:rPr>
                    <w:rFonts w:ascii="Cambria Math" w:hAnsi="Cambria Math"/>
                    <w:i/>
                  </w:rPr>
                </m:ctrlPr>
              </m:e>
              <m:sub>
                <m:sSub>
                  <m:sSubPr>
                    <m:ctrlPr>
                      <w:rPr>
                        <w:rFonts w:ascii="Cambria Math" w:hAnsi="Cambria Math"/>
                      </w:rPr>
                    </m:ctrlPr>
                  </m:sSubPr>
                  <m:e>
                    <m:r>
                      <m:rPr>
                        <m:sty m:val="p"/>
                      </m:rPr>
                      <w:rPr>
                        <w:rFonts w:ascii="Cambria Math" w:hAnsi="Cambria Math"/>
                      </w:rPr>
                      <m:t>F</m:t>
                    </m:r>
                    <m:ctrlPr>
                      <w:rPr>
                        <w:rFonts w:ascii="Cambria Math" w:hAnsi="Cambria Math"/>
                      </w:rPr>
                    </m:ctrlPr>
                  </m:e>
                  <m:sub>
                    <m:r>
                      <m:rPr>
                        <m:sty m:val="p"/>
                      </m:rPr>
                      <w:rPr>
                        <w:rFonts w:ascii="Cambria Math" w:hAnsi="Cambria Math"/>
                      </w:rPr>
                      <m:t>y</m:t>
                    </m:r>
                    <m:ctrlPr>
                      <w:rPr>
                        <w:rFonts w:ascii="Cambria Math" w:hAnsi="Cambria Math"/>
                      </w:rPr>
                    </m:ctrlPr>
                  </m:sub>
                </m:sSub>
                <m:ctrlPr>
                  <w:rPr>
                    <w:rFonts w:ascii="Cambria Math" w:hAnsi="Cambria Math"/>
                    <w:i/>
                  </w:rPr>
                </m:ctrlPr>
              </m:sub>
            </m:sSub>
            <m:ctrlPr>
              <w:rPr>
                <w:rFonts w:ascii="Cambria Math" w:hAnsi="Cambria Math"/>
              </w:rPr>
            </m:ctrlPr>
          </m:den>
        </m:f>
        <m:r>
          <m:rPr>
            <m:sty m:val="p"/>
          </m:rPr>
          <w:rPr>
            <w:rFonts w:ascii="Cambria Math" w:hAnsi="Cambria Math"/>
          </w:rPr>
          <m:t xml:space="preserve"> </m:t>
        </m:r>
      </m:oMath>
      <w:r>
        <w:rPr>
          <w:rFonts w:ascii="微软雅黑" w:hAnsi="微软雅黑" w:eastAsia="微软雅黑"/>
        </w:rPr>
        <w:tab/>
      </w:r>
      <w:r>
        <w:t>(</w:t>
      </w:r>
      <w:r>
        <w:fldChar w:fldCharType="begin"/>
      </w:r>
      <w:r>
        <w:instrText xml:space="preserve"> AUTONUM </w:instrText>
      </w:r>
      <w:r>
        <w:fldChar w:fldCharType="end"/>
      </w:r>
      <w:r>
        <w:t>)</w:t>
      </w:r>
    </w:p>
    <w:p w14:paraId="093AF6F3">
      <w:pPr>
        <w:pStyle w:val="55"/>
        <w:spacing w:line="240" w:lineRule="auto"/>
        <w:ind w:firstLine="420"/>
      </w:pPr>
      <w:r>
        <w:rPr>
          <w:rFonts w:hint="eastAsia"/>
        </w:rPr>
        <w:t>式中：</w:t>
      </w:r>
    </w:p>
    <w:p w14:paraId="74F38F85">
      <w:pPr>
        <w:snapToGrid w:val="0"/>
        <w:spacing w:line="240" w:lineRule="auto"/>
        <w:ind w:firstLine="840" w:firstLineChars="400"/>
      </w:pPr>
      <m:oMath>
        <m:r>
          <m:rPr/>
          <w:rPr>
            <w:rFonts w:ascii="Cambria Math" w:hAnsi="Cambria Math"/>
          </w:rPr>
          <m:t>A</m:t>
        </m:r>
      </m:oMath>
      <w:r>
        <w:rPr>
          <w:rFonts w:hint="eastAsia"/>
        </w:rPr>
        <w:t>——年累计蓝藻水华影响面积的权重系数；</w:t>
      </w:r>
    </w:p>
    <w:p w14:paraId="58B067FB">
      <w:pPr>
        <w:snapToGrid w:val="0"/>
        <w:spacing w:line="240" w:lineRule="auto"/>
        <w:ind w:firstLine="840" w:firstLineChars="400"/>
      </w:pPr>
      <m:oMath>
        <m:r>
          <m:rPr/>
          <w:rPr>
            <w:rFonts w:ascii="Cambria Math" w:hAnsi="Cambria Math"/>
          </w:rPr>
          <m:t>B</m:t>
        </m:r>
      </m:oMath>
      <w:r>
        <w:rPr>
          <w:rFonts w:hint="eastAsia"/>
        </w:rPr>
        <w:t>——年累计蓝藻水华次数的权重系数；</w:t>
      </w:r>
    </w:p>
    <w:p w14:paraId="36FC1907">
      <w:pPr>
        <w:snapToGrid w:val="0"/>
        <w:spacing w:line="240" w:lineRule="auto"/>
        <w:ind w:firstLine="840" w:firstLineChars="400"/>
      </w:pPr>
      <m:oMath>
        <m:sSub>
          <m:sSubPr>
            <m:ctrlPr>
              <w:rPr>
                <w:rFonts w:ascii="Cambria Math" w:hAnsi="Cambria Math"/>
                <w:i/>
              </w:rPr>
            </m:ctrlPr>
          </m:sSubPr>
          <m:e>
            <m:sSub>
              <m:sSubPr>
                <m:ctrlPr>
                  <w:rPr>
                    <w:rFonts w:ascii="Cambria Math" w:hAnsi="Cambria Math"/>
                    <w:i/>
                  </w:rPr>
                </m:ctrlPr>
              </m:sSubPr>
              <m:e>
                <m:r>
                  <m:rPr/>
                  <w:rPr>
                    <w:rFonts w:ascii="Cambria Math" w:hAnsi="Cambria Math"/>
                  </w:rPr>
                  <m:t>V</m:t>
                </m:r>
                <m:ctrlPr>
                  <w:rPr>
                    <w:rFonts w:ascii="Cambria Math" w:hAnsi="Cambria Math"/>
                    <w:i/>
                  </w:rPr>
                </m:ctrlPr>
              </m:e>
              <m:sub>
                <m:r>
                  <m:rPr>
                    <m:sty m:val="p"/>
                  </m:rPr>
                  <w:rPr>
                    <w:rFonts w:ascii="Cambria Math" w:hAnsi="Cambria Math"/>
                  </w:rPr>
                  <m:t>S</m:t>
                </m:r>
                <m:ctrlPr>
                  <w:rPr>
                    <w:rFonts w:ascii="Cambria Math" w:hAnsi="Cambria Math"/>
                    <w:i/>
                  </w:rPr>
                </m:ctrlPr>
              </m:sub>
            </m:sSub>
            <m:ctrlPr>
              <w:rPr>
                <w:rFonts w:ascii="Cambria Math" w:hAnsi="Cambria Math"/>
                <w:i/>
              </w:rPr>
            </m:ctrlPr>
          </m:e>
          <m:sub>
            <m:r>
              <m:rPr>
                <m:sty m:val="p"/>
              </m:rPr>
              <w:rPr>
                <w:rFonts w:ascii="Cambria Math" w:hAnsi="Cambria Math"/>
              </w:rPr>
              <m:t>y</m:t>
            </m:r>
            <m:ctrlPr>
              <w:rPr>
                <w:rFonts w:ascii="Cambria Math" w:hAnsi="Cambria Math"/>
                <w:i/>
              </w:rPr>
            </m:ctrlPr>
          </m:sub>
        </m:sSub>
      </m:oMath>
      <w:r>
        <w:rPr>
          <w:rFonts w:hint="eastAsia"/>
        </w:rPr>
        <w:t>——年累计</w:t>
      </w:r>
      <w:r>
        <w:t>蓝藻水华</w:t>
      </w:r>
      <w:r>
        <w:rPr>
          <w:rFonts w:hint="eastAsia"/>
        </w:rPr>
        <w:t>影响</w:t>
      </w:r>
      <w:r>
        <w:t>面积序列的变异系数</w:t>
      </w:r>
      <w:r>
        <w:rPr>
          <w:rFonts w:hint="eastAsia"/>
        </w:rPr>
        <w:t>；</w:t>
      </w:r>
    </w:p>
    <w:p w14:paraId="36B4CA73">
      <w:pPr>
        <w:snapToGrid w:val="0"/>
        <w:spacing w:line="240" w:lineRule="auto"/>
        <w:ind w:firstLine="840" w:firstLineChars="400"/>
      </w:pPr>
      <m:oMath>
        <m:sSub>
          <m:sSubPr>
            <m:ctrlPr>
              <w:rPr>
                <w:rFonts w:ascii="Cambria Math" w:hAnsi="Cambria Math"/>
                <w:i/>
              </w:rPr>
            </m:ctrlPr>
          </m:sSubPr>
          <m:e>
            <m:r>
              <m:rPr/>
              <w:rPr>
                <w:rFonts w:ascii="Cambria Math" w:hAnsi="Cambria Math"/>
              </w:rPr>
              <m:t>V</m:t>
            </m:r>
            <m:ctrlPr>
              <w:rPr>
                <w:rFonts w:ascii="Cambria Math" w:hAnsi="Cambria Math"/>
                <w:i/>
              </w:rPr>
            </m:ctrlPr>
          </m:e>
          <m:sub>
            <m:sSub>
              <m:sSubPr>
                <m:ctrlPr>
                  <w:rPr>
                    <w:rFonts w:ascii="Cambria Math" w:hAnsi="Cambria Math"/>
                  </w:rPr>
                </m:ctrlPr>
              </m:sSubPr>
              <m:e>
                <m:r>
                  <m:rPr>
                    <m:sty m:val="p"/>
                  </m:rPr>
                  <w:rPr>
                    <w:rFonts w:ascii="Cambria Math" w:hAnsi="Cambria Math"/>
                  </w:rPr>
                  <m:t>F</m:t>
                </m:r>
                <m:ctrlPr>
                  <w:rPr>
                    <w:rFonts w:ascii="Cambria Math" w:hAnsi="Cambria Math"/>
                  </w:rPr>
                </m:ctrlPr>
              </m:e>
              <m:sub>
                <m:r>
                  <m:rPr>
                    <m:sty m:val="p"/>
                  </m:rPr>
                  <w:rPr>
                    <w:rFonts w:hint="eastAsia" w:ascii="Cambria Math" w:hAnsi="Cambria Math"/>
                  </w:rPr>
                  <m:t>y</m:t>
                </m:r>
                <m:ctrlPr>
                  <w:rPr>
                    <w:rFonts w:ascii="Cambria Math" w:hAnsi="Cambria Math"/>
                  </w:rPr>
                </m:ctrlPr>
              </m:sub>
            </m:sSub>
            <m:ctrlPr>
              <w:rPr>
                <w:rFonts w:ascii="Cambria Math" w:hAnsi="Cambria Math"/>
                <w:i/>
              </w:rPr>
            </m:ctrlPr>
          </m:sub>
        </m:sSub>
      </m:oMath>
      <w:r>
        <w:rPr>
          <w:rFonts w:hint="eastAsia"/>
        </w:rPr>
        <w:t>——年累计</w:t>
      </w:r>
      <w:r>
        <w:t>蓝藻水华次数序列的变异系数；</w:t>
      </w:r>
    </w:p>
    <w:p w14:paraId="3F9DF182">
      <w:pPr>
        <w:pStyle w:val="55"/>
        <w:ind w:firstLine="420"/>
      </w:pPr>
      <w:r>
        <w:t>变异系数</w:t>
      </w:r>
      <m:oMath>
        <m:sSub>
          <m:sSubPr>
            <m:ctrlPr>
              <w:rPr>
                <w:rFonts w:ascii="Cambria Math" w:hAnsi="Cambria Math"/>
                <w:i/>
                <w:kern w:val="2"/>
              </w:rPr>
            </m:ctrlPr>
          </m:sSubPr>
          <m:e>
            <m:sSub>
              <m:sSubPr>
                <m:ctrlPr>
                  <w:rPr>
                    <w:rFonts w:ascii="Cambria Math" w:hAnsi="Cambria Math"/>
                    <w:i/>
                  </w:rPr>
                </m:ctrlPr>
              </m:sSubPr>
              <m:e>
                <m:r>
                  <m:rPr/>
                  <w:rPr>
                    <w:rFonts w:ascii="Cambria Math" w:hAnsi="Cambria Math"/>
                  </w:rPr>
                  <m:t>V</m:t>
                </m:r>
                <m:ctrlPr>
                  <w:rPr>
                    <w:rFonts w:ascii="Cambria Math" w:hAnsi="Cambria Math"/>
                    <w:i/>
                  </w:rPr>
                </m:ctrlPr>
              </m:e>
              <m:sub>
                <m:r>
                  <m:rPr>
                    <m:sty m:val="p"/>
                  </m:rPr>
                  <w:rPr>
                    <w:rFonts w:ascii="Cambria Math" w:hAnsi="Cambria Math"/>
                  </w:rPr>
                  <m:t>S</m:t>
                </m:r>
                <m:ctrlPr>
                  <w:rPr>
                    <w:rFonts w:ascii="Cambria Math" w:hAnsi="Cambria Math"/>
                    <w:i/>
                  </w:rPr>
                </m:ctrlPr>
              </m:sub>
            </m:sSub>
            <m:ctrlPr>
              <w:rPr>
                <w:rFonts w:ascii="Cambria Math" w:hAnsi="Cambria Math"/>
                <w:i/>
                <w:kern w:val="2"/>
              </w:rPr>
            </m:ctrlPr>
          </m:e>
          <m:sub>
            <m:r>
              <m:rPr>
                <m:sty m:val="p"/>
              </m:rPr>
              <w:rPr>
                <w:rFonts w:ascii="Cambria Math" w:hAnsi="Cambria Math"/>
              </w:rPr>
              <m:t>y</m:t>
            </m:r>
            <m:ctrlPr>
              <w:rPr>
                <w:rFonts w:ascii="Cambria Math" w:hAnsi="Cambria Math"/>
                <w:i/>
                <w:kern w:val="2"/>
              </w:rPr>
            </m:ctrlPr>
          </m:sub>
        </m:sSub>
      </m:oMath>
      <w:r>
        <w:rPr>
          <w:rFonts w:hint="eastAsia"/>
        </w:rPr>
        <w:t>和</w:t>
      </w:r>
      <m:oMath>
        <m:sSub>
          <m:sSubPr>
            <m:ctrlPr>
              <w:rPr>
                <w:rFonts w:ascii="Cambria Math" w:hAnsi="Cambria Math"/>
                <w:i/>
              </w:rPr>
            </m:ctrlPr>
          </m:sSubPr>
          <m:e>
            <m:r>
              <m:rPr/>
              <w:rPr>
                <w:rFonts w:ascii="Cambria Math" w:hAnsi="Cambria Math"/>
              </w:rPr>
              <m:t>V</m:t>
            </m:r>
            <m:ctrlPr>
              <w:rPr>
                <w:rFonts w:ascii="Cambria Math" w:hAnsi="Cambria Math"/>
                <w:i/>
              </w:rPr>
            </m:ctrlPr>
          </m:e>
          <m:sub>
            <m:sSub>
              <m:sSubPr>
                <m:ctrlPr>
                  <w:rPr>
                    <w:rFonts w:ascii="Cambria Math" w:hAnsi="Cambria Math"/>
                    <w:kern w:val="2"/>
                  </w:rPr>
                </m:ctrlPr>
              </m:sSubPr>
              <m:e>
                <m:r>
                  <m:rPr>
                    <m:sty m:val="p"/>
                  </m:rPr>
                  <w:rPr>
                    <w:rFonts w:ascii="Cambria Math" w:hAnsi="Cambria Math"/>
                  </w:rPr>
                  <m:t>F</m:t>
                </m:r>
                <m:ctrlPr>
                  <w:rPr>
                    <w:rFonts w:ascii="Cambria Math" w:hAnsi="Cambria Math"/>
                    <w:kern w:val="2"/>
                  </w:rPr>
                </m:ctrlPr>
              </m:e>
              <m:sub>
                <m:r>
                  <m:rPr>
                    <m:sty m:val="p"/>
                  </m:rPr>
                  <w:rPr>
                    <w:rFonts w:hint="eastAsia" w:ascii="Cambria Math" w:hAnsi="Cambria Math"/>
                  </w:rPr>
                  <m:t>y</m:t>
                </m:r>
                <m:ctrlPr>
                  <w:rPr>
                    <w:rFonts w:ascii="Cambria Math" w:hAnsi="Cambria Math"/>
                    <w:kern w:val="2"/>
                  </w:rPr>
                </m:ctrlPr>
              </m:sub>
            </m:sSub>
            <m:ctrlPr>
              <w:rPr>
                <w:rFonts w:ascii="Cambria Math" w:hAnsi="Cambria Math"/>
                <w:i/>
              </w:rPr>
            </m:ctrlPr>
          </m:sub>
        </m:sSub>
      </m:oMath>
      <w:r>
        <w:rPr>
          <w:rFonts w:hint="eastAsia"/>
        </w:rPr>
        <w:t>的计算公式为：</w:t>
      </w:r>
    </w:p>
    <w:p w14:paraId="62845DC2">
      <w:pPr>
        <w:pStyle w:val="113"/>
        <w:ind w:firstLine="4252" w:firstLineChars="2025"/>
      </w:pPr>
      <m:oMath>
        <m:sSub>
          <m:sSubPr>
            <m:ctrlPr>
              <w:rPr>
                <w:rFonts w:ascii="Cambria Math" w:hAnsi="Cambria Math"/>
                <w:i/>
              </w:rPr>
            </m:ctrlPr>
          </m:sSubPr>
          <m:e>
            <m:r>
              <m:rPr/>
              <w:rPr>
                <w:rFonts w:ascii="Cambria Math" w:hAnsi="Cambria Math"/>
              </w:rPr>
              <m:t>V</m:t>
            </m:r>
            <m:ctrlPr>
              <w:rPr>
                <w:rFonts w:ascii="Cambria Math" w:hAnsi="Cambria Math"/>
                <w:i/>
              </w:rPr>
            </m:ctrlPr>
          </m:e>
          <m:sub>
            <m:sSub>
              <m:sSubPr>
                <m:ctrlPr>
                  <w:rPr>
                    <w:rFonts w:ascii="Cambria Math" w:hAnsi="Cambria Math"/>
                  </w:rPr>
                </m:ctrlPr>
              </m:sSubPr>
              <m:e>
                <m:r>
                  <m:rPr>
                    <m:sty m:val="p"/>
                  </m:rPr>
                  <w:rPr>
                    <w:rFonts w:ascii="Cambria Math" w:hAnsi="Cambria Math"/>
                  </w:rPr>
                  <m:t>S</m:t>
                </m:r>
                <m:ctrlPr>
                  <w:rPr>
                    <w:rFonts w:ascii="Cambria Math" w:hAnsi="Cambria Math"/>
                  </w:rPr>
                </m:ctrlPr>
              </m:e>
              <m:sub>
                <m:r>
                  <m:rPr>
                    <m:sty m:val="p"/>
                  </m:rPr>
                  <w:rPr>
                    <w:rFonts w:ascii="Cambria Math" w:hAnsi="Cambria Math"/>
                  </w:rPr>
                  <m:t>y</m:t>
                </m:r>
                <m:ctrlPr>
                  <w:rPr>
                    <w:rFonts w:ascii="Cambria Math" w:hAnsi="Cambria Math"/>
                  </w:rPr>
                </m:ctrlPr>
              </m:sub>
            </m:sSub>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σ</m:t>
                </m:r>
                <m:ctrlPr>
                  <w:rPr>
                    <w:rFonts w:ascii="Cambria Math" w:hAnsi="Cambria Math"/>
                    <w:i/>
                  </w:rPr>
                </m:ctrlPr>
              </m:e>
              <m:sub>
                <m:sSub>
                  <m:sSubPr>
                    <m:ctrlPr>
                      <w:rPr>
                        <w:rFonts w:ascii="Cambria Math" w:hAnsi="Cambria Math"/>
                      </w:rPr>
                    </m:ctrlPr>
                  </m:sSubPr>
                  <m:e>
                    <m:r>
                      <m:rPr>
                        <m:sty m:val="p"/>
                      </m:rPr>
                      <w:rPr>
                        <w:rFonts w:ascii="Cambria Math" w:hAnsi="Cambria Math"/>
                      </w:rPr>
                      <m:t>S</m:t>
                    </m:r>
                    <m:ctrlPr>
                      <w:rPr>
                        <w:rFonts w:ascii="Cambria Math" w:hAnsi="Cambria Math"/>
                      </w:rPr>
                    </m:ctrlPr>
                  </m:e>
                  <m:sub>
                    <m:r>
                      <m:rPr>
                        <m:sty m:val="p"/>
                      </m:rPr>
                      <w:rPr>
                        <w:rFonts w:ascii="Cambria Math" w:hAnsi="Cambria Math"/>
                      </w:rPr>
                      <m:t>y</m:t>
                    </m:r>
                    <m:ctrlPr>
                      <w:rPr>
                        <w:rFonts w:ascii="Cambria Math" w:hAnsi="Cambria Math"/>
                      </w:rPr>
                    </m:ctrlPr>
                  </m:sub>
                </m:sSub>
                <m:ctrlPr>
                  <w:rPr>
                    <w:rFonts w:ascii="Cambria Math" w:hAnsi="Cambria Math"/>
                    <w:i/>
                  </w:rPr>
                </m:ctrlPr>
              </m:sub>
            </m:sSub>
            <m:ctrlPr>
              <w:rPr>
                <w:rFonts w:ascii="Cambria Math" w:hAnsi="Cambria Math"/>
                <w:i/>
              </w:rPr>
            </m:ctrlPr>
          </m:num>
          <m:den>
            <m:sSub>
              <m:sSubPr>
                <m:ctrlPr>
                  <w:rPr>
                    <w:rFonts w:ascii="Cambria Math" w:hAnsi="Cambria Math"/>
                    <w:i/>
                  </w:rPr>
                </m:ctrlPr>
              </m:sSubPr>
              <m:e>
                <m:bar>
                  <m:barPr>
                    <m:pos m:val="top"/>
                    <m:ctrlPr>
                      <w:rPr>
                        <w:rFonts w:ascii="Cambria Math" w:hAnsi="Cambria Math"/>
                        <w:i/>
                      </w:rPr>
                    </m:ctrlPr>
                  </m:barPr>
                  <m:e>
                    <m:r>
                      <m:rPr/>
                      <w:rPr>
                        <w:rFonts w:ascii="Cambria Math" w:hAnsi="Cambria Math"/>
                      </w:rPr>
                      <m:t>S</m:t>
                    </m:r>
                    <m:ctrlPr>
                      <w:rPr>
                        <w:rFonts w:ascii="Cambria Math" w:hAnsi="Cambria Math"/>
                        <w:i/>
                      </w:rPr>
                    </m:ctrlPr>
                  </m:e>
                </m:bar>
                <m:ctrlPr>
                  <w:rPr>
                    <w:rFonts w:ascii="Cambria Math" w:hAnsi="Cambria Math"/>
                    <w:i/>
                  </w:rPr>
                </m:ctrlPr>
              </m:e>
              <m:sub>
                <m:r>
                  <m:rPr/>
                  <w:rPr>
                    <w:rFonts w:ascii="Cambria Math" w:hAnsi="Cambria Math"/>
                  </w:rPr>
                  <m:t>y</m:t>
                </m:r>
                <m:ctrlPr>
                  <w:rPr>
                    <w:rFonts w:ascii="Cambria Math" w:hAnsi="Cambria Math"/>
                    <w:i/>
                  </w:rPr>
                </m:ctrlPr>
              </m:sub>
            </m:sSub>
            <m:ctrlPr>
              <w:rPr>
                <w:rFonts w:ascii="Cambria Math" w:hAnsi="Cambria Math"/>
                <w:i/>
              </w:rPr>
            </m:ctrlPr>
          </m:den>
        </m:f>
        <m:r>
          <m:rPr>
            <m:sty m:val="p"/>
          </m:rPr>
          <w:rPr>
            <w:rFonts w:ascii="Cambria Math" w:hAnsi="Cambria Math"/>
          </w:rPr>
          <m:t xml:space="preserve"> </m:t>
        </m:r>
      </m:oMath>
      <w:r>
        <w:rPr>
          <w:rFonts w:ascii="微软雅黑" w:hAnsi="微软雅黑" w:eastAsia="微软雅黑"/>
        </w:rPr>
        <w:tab/>
      </w:r>
      <w:r>
        <w:t>(</w:t>
      </w:r>
      <w:r>
        <w:fldChar w:fldCharType="begin"/>
      </w:r>
      <w:r>
        <w:instrText xml:space="preserve"> AUTONUM </w:instrText>
      </w:r>
      <w:r>
        <w:fldChar w:fldCharType="end"/>
      </w:r>
      <w:r>
        <w:t>)</w:t>
      </w:r>
    </w:p>
    <w:p w14:paraId="5A577AC2">
      <w:pPr>
        <w:pStyle w:val="113"/>
        <w:ind w:firstLine="4252" w:firstLineChars="2025"/>
      </w:pPr>
      <m:oMath>
        <m:sSub>
          <m:sSubPr>
            <m:ctrlPr>
              <w:rPr>
                <w:rFonts w:ascii="Cambria Math" w:hAnsi="Cambria Math"/>
                <w:i/>
              </w:rPr>
            </m:ctrlPr>
          </m:sSubPr>
          <m:e>
            <m:r>
              <m:rPr/>
              <w:rPr>
                <w:rFonts w:ascii="Cambria Math" w:hAnsi="Cambria Math"/>
              </w:rPr>
              <m:t>V</m:t>
            </m:r>
            <m:ctrlPr>
              <w:rPr>
                <w:rFonts w:ascii="Cambria Math" w:hAnsi="Cambria Math"/>
                <w:i/>
              </w:rPr>
            </m:ctrlPr>
          </m:e>
          <m:sub>
            <m:sSub>
              <m:sSubPr>
                <m:ctrlPr>
                  <w:rPr>
                    <w:rFonts w:ascii="Cambria Math" w:hAnsi="Cambria Math"/>
                  </w:rPr>
                </m:ctrlPr>
              </m:sSubPr>
              <m:e>
                <m:r>
                  <m:rPr>
                    <m:sty m:val="p"/>
                  </m:rPr>
                  <w:rPr>
                    <w:rFonts w:ascii="Cambria Math" w:hAnsi="Cambria Math"/>
                  </w:rPr>
                  <m:t>F</m:t>
                </m:r>
                <m:ctrlPr>
                  <w:rPr>
                    <w:rFonts w:ascii="Cambria Math" w:hAnsi="Cambria Math"/>
                  </w:rPr>
                </m:ctrlPr>
              </m:e>
              <m:sub>
                <m:r>
                  <m:rPr>
                    <m:sty m:val="p"/>
                  </m:rPr>
                  <w:rPr>
                    <w:rFonts w:ascii="Cambria Math" w:hAnsi="Cambria Math"/>
                  </w:rPr>
                  <m:t>y</m:t>
                </m:r>
                <m:ctrlPr>
                  <w:rPr>
                    <w:rFonts w:ascii="Cambria Math" w:hAnsi="Cambria Math"/>
                  </w:rPr>
                </m:ctrlPr>
              </m:sub>
            </m:sSub>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σ</m:t>
                </m:r>
                <m:ctrlPr>
                  <w:rPr>
                    <w:rFonts w:ascii="Cambria Math" w:hAnsi="Cambria Math"/>
                    <w:i/>
                  </w:rPr>
                </m:ctrlPr>
              </m:e>
              <m:sub>
                <m:sSub>
                  <m:sSubPr>
                    <m:ctrlPr>
                      <w:rPr>
                        <w:rFonts w:ascii="Cambria Math" w:hAnsi="Cambria Math"/>
                      </w:rPr>
                    </m:ctrlPr>
                  </m:sSubPr>
                  <m:e>
                    <m:r>
                      <m:rPr>
                        <m:sty m:val="p"/>
                      </m:rPr>
                      <w:rPr>
                        <w:rFonts w:ascii="Cambria Math" w:hAnsi="Cambria Math"/>
                      </w:rPr>
                      <m:t>F</m:t>
                    </m:r>
                    <m:ctrlPr>
                      <w:rPr>
                        <w:rFonts w:ascii="Cambria Math" w:hAnsi="Cambria Math"/>
                      </w:rPr>
                    </m:ctrlPr>
                  </m:e>
                  <m:sub>
                    <m:r>
                      <m:rPr>
                        <m:sty m:val="p"/>
                      </m:rPr>
                      <w:rPr>
                        <w:rFonts w:ascii="Cambria Math" w:hAnsi="Cambria Math"/>
                      </w:rPr>
                      <m:t>y</m:t>
                    </m:r>
                    <m:ctrlPr>
                      <w:rPr>
                        <w:rFonts w:ascii="Cambria Math" w:hAnsi="Cambria Math"/>
                      </w:rPr>
                    </m:ctrlPr>
                  </m:sub>
                </m:sSub>
                <m:ctrlPr>
                  <w:rPr>
                    <w:rFonts w:ascii="Cambria Math" w:hAnsi="Cambria Math"/>
                    <w:i/>
                  </w:rPr>
                </m:ctrlPr>
              </m:sub>
            </m:sSub>
            <m:ctrlPr>
              <w:rPr>
                <w:rFonts w:ascii="Cambria Math" w:hAnsi="Cambria Math"/>
                <w:i/>
              </w:rPr>
            </m:ctrlPr>
          </m:num>
          <m:den>
            <m:bar>
              <m:barPr>
                <m:pos m:val="top"/>
                <m:ctrlPr>
                  <w:rPr>
                    <w:rFonts w:ascii="Cambria Math" w:hAnsi="Cambria Math"/>
                    <w:i/>
                  </w:rPr>
                </m:ctrlPr>
              </m:barPr>
              <m:e>
                <m:sSub>
                  <m:sSubPr>
                    <m:ctrlPr>
                      <w:rPr>
                        <w:rFonts w:ascii="Cambria Math" w:hAnsi="Cambria Math"/>
                        <w:i/>
                      </w:rPr>
                    </m:ctrlPr>
                  </m:sSubPr>
                  <m:e>
                    <m:r>
                      <m:rPr/>
                      <w:rPr>
                        <w:rFonts w:ascii="Cambria Math" w:hAnsi="Cambria Math"/>
                      </w:rPr>
                      <m:t>F</m:t>
                    </m:r>
                    <m:ctrlPr>
                      <w:rPr>
                        <w:rFonts w:ascii="Cambria Math" w:hAnsi="Cambria Math"/>
                        <w:i/>
                      </w:rPr>
                    </m:ctrlPr>
                  </m:e>
                  <m:sub>
                    <m:r>
                      <m:rPr>
                        <m:sty m:val="p"/>
                      </m:rPr>
                      <w:rPr>
                        <w:rFonts w:ascii="Cambria Math" w:hAnsi="Cambria Math"/>
                      </w:rPr>
                      <m:t>y</m:t>
                    </m:r>
                    <m:ctrlPr>
                      <w:rPr>
                        <w:rFonts w:ascii="Cambria Math" w:hAnsi="Cambria Math"/>
                        <w:i/>
                      </w:rPr>
                    </m:ctrlPr>
                  </m:sub>
                </m:sSub>
                <m:ctrlPr>
                  <w:rPr>
                    <w:rFonts w:ascii="Cambria Math" w:hAnsi="Cambria Math"/>
                    <w:i/>
                  </w:rPr>
                </m:ctrlPr>
              </m:e>
            </m:bar>
            <m:ctrlPr>
              <w:rPr>
                <w:rFonts w:ascii="Cambria Math" w:hAnsi="Cambria Math"/>
                <w:i/>
              </w:rPr>
            </m:ctrlPr>
          </m:den>
        </m:f>
        <m:r>
          <m:rPr>
            <m:sty m:val="p"/>
          </m:rPr>
          <w:rPr>
            <w:rFonts w:ascii="Cambria Math" w:hAnsi="Cambria Math"/>
          </w:rPr>
          <m:t xml:space="preserve"> </m:t>
        </m:r>
      </m:oMath>
      <w:r>
        <w:rPr>
          <w:rFonts w:ascii="微软雅黑" w:hAnsi="微软雅黑" w:eastAsia="微软雅黑"/>
        </w:rPr>
        <w:tab/>
      </w:r>
      <w:r>
        <w:t>(</w:t>
      </w:r>
      <w:r>
        <w:fldChar w:fldCharType="begin"/>
      </w:r>
      <w:r>
        <w:instrText xml:space="preserve"> AUTONUM </w:instrText>
      </w:r>
      <w:r>
        <w:fldChar w:fldCharType="end"/>
      </w:r>
      <w:r>
        <w:t>)</w:t>
      </w:r>
    </w:p>
    <w:p w14:paraId="67D8CBAC">
      <w:pPr>
        <w:pStyle w:val="55"/>
        <w:spacing w:line="240" w:lineRule="auto"/>
        <w:ind w:firstLine="420"/>
      </w:pPr>
      <w:r>
        <w:rPr>
          <w:rFonts w:hint="eastAsia"/>
        </w:rPr>
        <w:t>式中：</w:t>
      </w:r>
    </w:p>
    <w:p w14:paraId="245ABFFB">
      <w:pPr>
        <w:snapToGrid w:val="0"/>
        <w:spacing w:line="240" w:lineRule="auto"/>
        <w:ind w:firstLine="840" w:firstLineChars="400"/>
      </w:pPr>
      <m:oMath>
        <m:sSub>
          <m:sSubPr>
            <m:ctrlPr>
              <w:rPr>
                <w:rFonts w:ascii="Cambria Math" w:hAnsi="Cambria Math"/>
                <w:i/>
              </w:rPr>
            </m:ctrlPr>
          </m:sSubPr>
          <m:e>
            <m:r>
              <m:rPr/>
              <w:rPr>
                <w:rFonts w:ascii="Cambria Math" w:hAnsi="Cambria Math"/>
              </w:rPr>
              <m:t>σ</m:t>
            </m:r>
            <m:ctrlPr>
              <w:rPr>
                <w:rFonts w:ascii="Cambria Math" w:hAnsi="Cambria Math"/>
                <w:i/>
              </w:rPr>
            </m:ctrlPr>
          </m:e>
          <m:sub>
            <m:sSub>
              <m:sSubPr>
                <m:ctrlPr>
                  <w:rPr>
                    <w:rFonts w:ascii="Cambria Math" w:hAnsi="Cambria Math"/>
                  </w:rPr>
                </m:ctrlPr>
              </m:sSubPr>
              <m:e>
                <m:r>
                  <m:rPr>
                    <m:sty m:val="p"/>
                  </m:rPr>
                  <w:rPr>
                    <w:rFonts w:hint="eastAsia" w:ascii="Cambria Math" w:hAnsi="Cambria Math"/>
                  </w:rPr>
                  <m:t>S</m:t>
                </m:r>
                <m:ctrlPr>
                  <w:rPr>
                    <w:rFonts w:ascii="Cambria Math" w:hAnsi="Cambria Math"/>
                  </w:rPr>
                </m:ctrlPr>
              </m:e>
              <m:sub>
                <m:r>
                  <m:rPr>
                    <m:sty m:val="p"/>
                  </m:rPr>
                  <w:rPr>
                    <w:rFonts w:hint="eastAsia" w:ascii="Cambria Math" w:hAnsi="Cambria Math"/>
                  </w:rPr>
                  <m:t>y</m:t>
                </m:r>
                <m:ctrlPr>
                  <w:rPr>
                    <w:rFonts w:ascii="Cambria Math" w:hAnsi="Cambria Math"/>
                  </w:rPr>
                </m:ctrlPr>
              </m:sub>
            </m:sSub>
            <m:ctrlPr>
              <w:rPr>
                <w:rFonts w:ascii="Cambria Math" w:hAnsi="Cambria Math"/>
                <w:i/>
              </w:rPr>
            </m:ctrlPr>
          </m:sub>
        </m:sSub>
      </m:oMath>
      <w:r>
        <w:rPr>
          <w:rFonts w:hint="eastAsia"/>
        </w:rPr>
        <w:t>——年累计</w:t>
      </w:r>
      <w:r>
        <w:t>蓝藻</w:t>
      </w:r>
      <w:r>
        <w:rPr>
          <w:rFonts w:hint="eastAsia"/>
        </w:rPr>
        <w:t>水华影响</w:t>
      </w:r>
      <w:r>
        <w:t>面积的标准差</w:t>
      </w:r>
      <w:r>
        <w:rPr>
          <w:rFonts w:hint="eastAsia"/>
        </w:rPr>
        <w:t>；</w:t>
      </w:r>
    </w:p>
    <w:p w14:paraId="3959DCBA">
      <w:pPr>
        <w:snapToGrid w:val="0"/>
        <w:spacing w:line="240" w:lineRule="auto"/>
        <w:ind w:firstLine="840" w:firstLineChars="400"/>
      </w:pPr>
      <m:oMath>
        <m:sSub>
          <m:sSubPr>
            <m:ctrlPr>
              <w:rPr>
                <w:rFonts w:ascii="Cambria Math" w:hAnsi="Cambria Math"/>
                <w:i/>
              </w:rPr>
            </m:ctrlPr>
          </m:sSubPr>
          <m:e>
            <m:r>
              <m:rPr/>
              <w:rPr>
                <w:rFonts w:ascii="Cambria Math" w:hAnsi="Cambria Math"/>
              </w:rPr>
              <m:t>σ</m:t>
            </m:r>
            <m:ctrlPr>
              <w:rPr>
                <w:rFonts w:ascii="Cambria Math" w:hAnsi="Cambria Math"/>
                <w:i/>
              </w:rPr>
            </m:ctrlPr>
          </m:e>
          <m:sub>
            <m:sSub>
              <m:sSubPr>
                <m:ctrlPr>
                  <w:rPr>
                    <w:rFonts w:ascii="Cambria Math" w:hAnsi="Cambria Math"/>
                  </w:rPr>
                </m:ctrlPr>
              </m:sSubPr>
              <m:e>
                <m:r>
                  <m:rPr>
                    <m:sty m:val="p"/>
                  </m:rPr>
                  <w:rPr>
                    <w:rFonts w:hint="eastAsia" w:ascii="Cambria Math" w:hAnsi="Cambria Math"/>
                  </w:rPr>
                  <m:t>F</m:t>
                </m:r>
                <m:ctrlPr>
                  <w:rPr>
                    <w:rFonts w:ascii="Cambria Math" w:hAnsi="Cambria Math"/>
                  </w:rPr>
                </m:ctrlPr>
              </m:e>
              <m:sub>
                <m:r>
                  <m:rPr>
                    <m:sty m:val="p"/>
                  </m:rPr>
                  <w:rPr>
                    <w:rFonts w:hint="eastAsia" w:ascii="Cambria Math" w:hAnsi="Cambria Math"/>
                  </w:rPr>
                  <m:t>y</m:t>
                </m:r>
                <m:ctrlPr>
                  <w:rPr>
                    <w:rFonts w:ascii="Cambria Math" w:hAnsi="Cambria Math"/>
                  </w:rPr>
                </m:ctrlPr>
              </m:sub>
            </m:sSub>
            <m:ctrlPr>
              <w:rPr>
                <w:rFonts w:ascii="Cambria Math" w:hAnsi="Cambria Math"/>
                <w:i/>
              </w:rPr>
            </m:ctrlPr>
          </m:sub>
        </m:sSub>
      </m:oMath>
      <w:r>
        <w:rPr>
          <w:rFonts w:hint="eastAsia"/>
        </w:rPr>
        <w:t>——年累计</w:t>
      </w:r>
      <w:r>
        <w:t>蓝藻</w:t>
      </w:r>
      <w:r>
        <w:rPr>
          <w:rFonts w:hint="eastAsia"/>
        </w:rPr>
        <w:t>水华次数</w:t>
      </w:r>
      <w:r>
        <w:t>的标准差</w:t>
      </w:r>
      <w:r>
        <w:rPr>
          <w:rFonts w:hint="eastAsia"/>
        </w:rPr>
        <w:t>；</w:t>
      </w:r>
    </w:p>
    <w:p w14:paraId="53525F84">
      <w:pPr>
        <w:snapToGrid w:val="0"/>
        <w:spacing w:line="240" w:lineRule="auto"/>
        <w:ind w:firstLine="840" w:firstLineChars="400"/>
      </w:pPr>
      <m:oMath>
        <m:bar>
          <m:barPr>
            <m:pos m:val="top"/>
            <m:ctrlPr>
              <w:rPr>
                <w:rFonts w:ascii="Cambria Math" w:hAnsi="Cambria Math"/>
                <w:i/>
              </w:rPr>
            </m:ctrlPr>
          </m:barPr>
          <m:e>
            <m:sSub>
              <m:sSubPr>
                <m:ctrlPr>
                  <w:rPr>
                    <w:rFonts w:ascii="Cambria Math" w:hAnsi="Cambria Math"/>
                    <w:i/>
                  </w:rPr>
                </m:ctrlPr>
              </m:sSubPr>
              <m:e>
                <m:r>
                  <m:rPr/>
                  <w:rPr>
                    <w:rFonts w:hint="eastAsia" w:ascii="Cambria Math" w:hAnsi="Cambria Math"/>
                  </w:rPr>
                  <m:t>S</m:t>
                </m:r>
                <m:ctrlPr>
                  <w:rPr>
                    <w:rFonts w:ascii="Cambria Math" w:hAnsi="Cambria Math"/>
                    <w:i/>
                  </w:rPr>
                </m:ctrlPr>
              </m:e>
              <m:sub>
                <m:r>
                  <m:rPr>
                    <m:sty m:val="p"/>
                  </m:rPr>
                  <w:rPr>
                    <w:rFonts w:hint="eastAsia" w:ascii="Cambria Math" w:hAnsi="Cambria Math"/>
                  </w:rPr>
                  <m:t>y</m:t>
                </m:r>
                <m:ctrlPr>
                  <w:rPr>
                    <w:rFonts w:ascii="Cambria Math" w:hAnsi="Cambria Math"/>
                    <w:i/>
                  </w:rPr>
                </m:ctrlPr>
              </m:sub>
            </m:sSub>
            <m:ctrlPr>
              <w:rPr>
                <w:rFonts w:ascii="Cambria Math" w:hAnsi="Cambria Math"/>
                <w:i/>
              </w:rPr>
            </m:ctrlPr>
          </m:e>
        </m:bar>
      </m:oMath>
      <w:r>
        <w:rPr>
          <w:rFonts w:hint="eastAsia"/>
        </w:rPr>
        <w:t>——年累计</w:t>
      </w:r>
      <w:r>
        <w:t>蓝藻</w:t>
      </w:r>
      <w:r>
        <w:rPr>
          <w:rFonts w:hint="eastAsia"/>
        </w:rPr>
        <w:t>水华影响</w:t>
      </w:r>
      <w:r>
        <w:t>面积的平均值</w:t>
      </w:r>
      <w:r>
        <w:rPr>
          <w:rFonts w:hint="eastAsia"/>
        </w:rPr>
        <w:t>，单位为平方千米（</w:t>
      </w:r>
      <w:r>
        <w:rPr>
          <w:rFonts w:ascii="Times New Roman" w:hAnsi="Times New Roman"/>
        </w:rPr>
        <w:t>km</w:t>
      </w:r>
      <w:r>
        <w:rPr>
          <w:rFonts w:ascii="Times New Roman" w:hAnsi="Times New Roman"/>
          <w:vertAlign w:val="superscript"/>
        </w:rPr>
        <w:t>2</w:t>
      </w:r>
      <w:r>
        <w:rPr>
          <w:rFonts w:hint="eastAsia"/>
        </w:rPr>
        <w:t>）</w:t>
      </w:r>
      <w:r>
        <w:t>；</w:t>
      </w:r>
    </w:p>
    <w:p w14:paraId="1F90B2D7">
      <w:pPr>
        <w:snapToGrid w:val="0"/>
        <w:spacing w:line="240" w:lineRule="auto"/>
        <w:ind w:firstLine="840" w:firstLineChars="400"/>
      </w:pPr>
      <m:oMath>
        <m:bar>
          <m:barPr>
            <m:pos m:val="top"/>
            <m:ctrlPr>
              <w:rPr>
                <w:rFonts w:ascii="Cambria Math" w:hAnsi="Cambria Math"/>
                <w:i/>
              </w:rPr>
            </m:ctrlPr>
          </m:barPr>
          <m:e>
            <m:sSub>
              <m:sSubPr>
                <m:ctrlPr>
                  <w:rPr>
                    <w:rFonts w:ascii="Cambria Math" w:hAnsi="Cambria Math"/>
                    <w:i/>
                  </w:rPr>
                </m:ctrlPr>
              </m:sSubPr>
              <m:e>
                <m:r>
                  <m:rPr/>
                  <w:rPr>
                    <w:rFonts w:hint="eastAsia" w:ascii="Cambria Math" w:hAnsi="Cambria Math"/>
                  </w:rPr>
                  <m:t>F</m:t>
                </m:r>
                <m:ctrlPr>
                  <w:rPr>
                    <w:rFonts w:ascii="Cambria Math" w:hAnsi="Cambria Math"/>
                    <w:i/>
                  </w:rPr>
                </m:ctrlPr>
              </m:e>
              <m:sub>
                <m:r>
                  <m:rPr>
                    <m:sty m:val="p"/>
                  </m:rPr>
                  <w:rPr>
                    <w:rFonts w:hint="eastAsia" w:ascii="Cambria Math" w:hAnsi="Cambria Math"/>
                  </w:rPr>
                  <m:t>y</m:t>
                </m:r>
                <m:ctrlPr>
                  <w:rPr>
                    <w:rFonts w:ascii="Cambria Math" w:hAnsi="Cambria Math"/>
                    <w:i/>
                  </w:rPr>
                </m:ctrlPr>
              </m:sub>
            </m:sSub>
            <m:ctrlPr>
              <w:rPr>
                <w:rFonts w:ascii="Cambria Math" w:hAnsi="Cambria Math"/>
                <w:i/>
              </w:rPr>
            </m:ctrlPr>
          </m:e>
        </m:bar>
      </m:oMath>
      <w:r>
        <w:rPr>
          <w:rFonts w:hint="eastAsia"/>
        </w:rPr>
        <w:t>——年累计</w:t>
      </w:r>
      <w:r>
        <w:t>蓝藻</w:t>
      </w:r>
      <w:r>
        <w:rPr>
          <w:rFonts w:hint="eastAsia"/>
        </w:rPr>
        <w:t>水华</w:t>
      </w:r>
      <w:r>
        <w:t>次数的平均值。</w:t>
      </w:r>
    </w:p>
    <w:p w14:paraId="6482DC3E">
      <w:pPr>
        <w:pStyle w:val="65"/>
        <w:spacing w:before="156" w:after="156"/>
      </w:pPr>
      <w:r>
        <w:rPr>
          <w:rFonts w:hint="eastAsia"/>
        </w:rPr>
        <w:t>计算蓝藻水华强度指数</w:t>
      </w:r>
    </w:p>
    <w:p w14:paraId="1974C630">
      <w:pPr>
        <w:pStyle w:val="56"/>
        <w:ind w:firstLine="420"/>
      </w:pPr>
      <w:r>
        <w:rPr>
          <w:rFonts w:hint="eastAsia"/>
        </w:rPr>
        <w:t>蓝藻水华强度指数综合考虑了蓝藻水华的影响面积和次数，可客观反映一段时间内蓝藻水华的强弱特征，计算方法为：</w:t>
      </w:r>
    </w:p>
    <w:p w14:paraId="0881060F">
      <w:pPr>
        <w:pStyle w:val="113"/>
      </w:pPr>
      <w:r>
        <w:tab/>
      </w:r>
      <m:oMath>
        <m:sSub>
          <m:sSubPr>
            <m:ctrlPr>
              <w:rPr>
                <w:rFonts w:ascii="Cambria Math" w:hAnsi="Cambria Math"/>
                <w:i/>
              </w:rPr>
            </m:ctrlPr>
          </m:sSubPr>
          <m:e>
            <m:r>
              <m:rPr/>
              <w:rPr>
                <w:rFonts w:ascii="Cambria Math" w:hAnsi="Cambria Math"/>
              </w:rPr>
              <m:t>I</m:t>
            </m:r>
            <m:ctrlPr>
              <w:rPr>
                <w:rFonts w:ascii="Cambria Math" w:hAnsi="Cambria Math"/>
                <w:i/>
              </w:rPr>
            </m:ctrlPr>
          </m:e>
          <m:sub>
            <m:r>
              <m:rPr>
                <m:sty m:val="p"/>
              </m:rPr>
              <w:rPr>
                <w:rFonts w:ascii="Cambria Math" w:hAnsi="Cambria Math"/>
              </w:rPr>
              <m:t>cya</m:t>
            </m:r>
            <m:ctrlPr>
              <w:rPr>
                <w:rFonts w:ascii="Cambria Math" w:hAnsi="Cambria Math"/>
                <w:i/>
              </w:rPr>
            </m:ctrlPr>
          </m:sub>
        </m:sSub>
        <m:r>
          <m:rPr>
            <m:sty m:val="p"/>
          </m:rPr>
          <w:rPr>
            <w:rFonts w:ascii="Cambria Math" w:hAnsi="Cambria Math"/>
          </w:rPr>
          <m:t>=</m:t>
        </m:r>
        <m:r>
          <m:rPr/>
          <w:rPr>
            <w:rFonts w:ascii="Cambria Math" w:hAnsi="Cambria Math"/>
          </w:rPr>
          <m:t>A</m:t>
        </m:r>
        <m:r>
          <m:rPr/>
          <w:rPr>
            <w:rFonts w:hint="eastAsia" w:ascii="Cambria Math" w:hAnsi="Cambria Math"/>
          </w:rPr>
          <m:t>×</m:t>
        </m:r>
        <m:f>
          <m:fPr>
            <m:ctrlPr>
              <w:rPr>
                <w:rFonts w:ascii="Cambria Math" w:hAnsi="Cambria Math"/>
                <w:i/>
              </w:rPr>
            </m:ctrlPr>
          </m:fPr>
          <m:num>
            <m:sSub>
              <m:sSubPr>
                <m:ctrlPr>
                  <w:rPr>
                    <w:rFonts w:ascii="Cambria Math" w:hAnsi="Cambria Math"/>
                    <w:i/>
                  </w:rPr>
                </m:ctrlPr>
              </m:sSubPr>
              <m:e>
                <m:r>
                  <m:rPr/>
                  <w:rPr>
                    <w:rFonts w:hint="eastAsia" w:ascii="Cambria Math" w:hAnsi="Cambria Math"/>
                  </w:rPr>
                  <m:t>S</m:t>
                </m:r>
                <m:ctrlPr>
                  <w:rPr>
                    <w:rFonts w:ascii="Cambria Math" w:hAnsi="Cambria Math"/>
                    <w:i/>
                  </w:rPr>
                </m:ctrlPr>
              </m:e>
              <m:sub>
                <m:r>
                  <m:rPr>
                    <m:sty m:val="p"/>
                  </m:rPr>
                  <w:rPr>
                    <w:rFonts w:hint="eastAsia" w:ascii="Cambria Math" w:hAnsi="Cambria Math"/>
                  </w:rPr>
                  <m:t>y</m:t>
                </m:r>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S</m:t>
                </m:r>
                <m:ctrlPr>
                  <w:rPr>
                    <w:rFonts w:ascii="Cambria Math" w:hAnsi="Cambria Math"/>
                    <w:i/>
                  </w:rPr>
                </m:ctrlPr>
              </m:e>
              <m:sub>
                <m:r>
                  <m:rPr>
                    <m:sty m:val="p"/>
                  </m:rPr>
                  <w:rPr>
                    <w:rFonts w:hint="eastAsia" w:ascii="Cambria Math" w:hAnsi="Cambria Math"/>
                  </w:rPr>
                  <m:t>y</m:t>
                </m:r>
                <m:r>
                  <m:rPr>
                    <m:sty m:val="p"/>
                  </m:rPr>
                  <w:rPr>
                    <w:rFonts w:ascii="Cambria Math" w:hAnsi="Cambria Math"/>
                  </w:rPr>
                  <m:t>,min</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S</m:t>
                </m:r>
                <m:ctrlPr>
                  <w:rPr>
                    <w:rFonts w:ascii="Cambria Math" w:hAnsi="Cambria Math"/>
                    <w:i/>
                  </w:rPr>
                </m:ctrlPr>
              </m:e>
              <m:sub>
                <m:r>
                  <m:rPr>
                    <m:sty m:val="p"/>
                  </m:rPr>
                  <w:rPr>
                    <w:rFonts w:ascii="Cambria Math" w:hAnsi="Cambria Math"/>
                  </w:rPr>
                  <m:t>y,max</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S</m:t>
                </m:r>
                <m:ctrlPr>
                  <w:rPr>
                    <w:rFonts w:ascii="Cambria Math" w:hAnsi="Cambria Math"/>
                    <w:i/>
                  </w:rPr>
                </m:ctrlPr>
              </m:e>
              <m:sub>
                <m:r>
                  <m:rPr>
                    <m:sty m:val="p"/>
                  </m:rPr>
                  <w:rPr>
                    <w:rFonts w:ascii="Cambria Math" w:hAnsi="Cambria Math"/>
                  </w:rPr>
                  <m:t>y,min</m:t>
                </m:r>
                <m:ctrlPr>
                  <w:rPr>
                    <w:rFonts w:ascii="Cambria Math" w:hAnsi="Cambria Math"/>
                    <w:i/>
                  </w:rPr>
                </m:ctrlPr>
              </m:sub>
            </m:sSub>
            <m:ctrlPr>
              <w:rPr>
                <w:rFonts w:ascii="Cambria Math" w:hAnsi="Cambria Math"/>
                <w:i/>
              </w:rPr>
            </m:ctrlPr>
          </m:den>
        </m:f>
        <m:r>
          <m:rPr/>
          <w:rPr>
            <w:rFonts w:hint="eastAsia" w:ascii="Cambria Math" w:hAnsi="Cambria Math"/>
          </w:rPr>
          <m:t>×</m:t>
        </m:r>
        <m:r>
          <m:rPr/>
          <w:rPr>
            <w:rFonts w:ascii="Cambria Math" w:hAnsi="Cambria Math"/>
          </w:rPr>
          <m:t>100%+B</m:t>
        </m:r>
        <m:r>
          <m:rPr/>
          <w:rPr>
            <w:rFonts w:hint="eastAsia"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F</m:t>
                </m:r>
                <m:ctrlPr>
                  <w:rPr>
                    <w:rFonts w:ascii="Cambria Math" w:hAnsi="Cambria Math"/>
                    <w:i/>
                  </w:rPr>
                </m:ctrlPr>
              </m:e>
              <m:sub>
                <m:r>
                  <m:rPr>
                    <m:sty m:val="p"/>
                  </m:rPr>
                  <w:rPr>
                    <w:rFonts w:ascii="Cambria Math" w:hAnsi="Cambria Math"/>
                  </w:rPr>
                  <m:t>y</m:t>
                </m:r>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F</m:t>
                </m:r>
                <m:ctrlPr>
                  <w:rPr>
                    <w:rFonts w:ascii="Cambria Math" w:hAnsi="Cambria Math"/>
                    <w:i/>
                  </w:rPr>
                </m:ctrlPr>
              </m:e>
              <m:sub>
                <m:r>
                  <m:rPr>
                    <m:sty m:val="p"/>
                  </m:rPr>
                  <w:rPr>
                    <w:rFonts w:ascii="Cambria Math" w:hAnsi="Cambria Math"/>
                  </w:rPr>
                  <m:t>y,min</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F</m:t>
                </m:r>
                <m:ctrlPr>
                  <w:rPr>
                    <w:rFonts w:ascii="Cambria Math" w:hAnsi="Cambria Math"/>
                    <w:i/>
                  </w:rPr>
                </m:ctrlPr>
              </m:e>
              <m:sub>
                <m:r>
                  <m:rPr>
                    <m:sty m:val="p"/>
                  </m:rPr>
                  <w:rPr>
                    <w:rFonts w:ascii="Cambria Math" w:hAnsi="Cambria Math"/>
                  </w:rPr>
                  <m:t>y,max</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F</m:t>
                </m:r>
                <m:ctrlPr>
                  <w:rPr>
                    <w:rFonts w:ascii="Cambria Math" w:hAnsi="Cambria Math"/>
                    <w:i/>
                  </w:rPr>
                </m:ctrlPr>
              </m:e>
              <m:sub>
                <m:r>
                  <m:rPr>
                    <m:sty m:val="p"/>
                  </m:rPr>
                  <w:rPr>
                    <w:rFonts w:ascii="Cambria Math" w:hAnsi="Cambria Math"/>
                  </w:rPr>
                  <m:t>y,min</m:t>
                </m:r>
                <m:ctrlPr>
                  <w:rPr>
                    <w:rFonts w:ascii="Cambria Math" w:hAnsi="Cambria Math"/>
                    <w:i/>
                  </w:rPr>
                </m:ctrlPr>
              </m:sub>
            </m:sSub>
            <m:ctrlPr>
              <w:rPr>
                <w:rFonts w:ascii="Cambria Math" w:hAnsi="Cambria Math"/>
                <w:i/>
              </w:rPr>
            </m:ctrlPr>
          </m:den>
        </m:f>
        <m:r>
          <m:rPr/>
          <w:rPr>
            <w:rFonts w:hint="eastAsia" w:ascii="Cambria Math" w:hAnsi="Cambria Math" w:eastAsia="MS Gothic"/>
          </w:rPr>
          <m:t>×</m:t>
        </m:r>
        <m:r>
          <m:rPr/>
          <w:rPr>
            <w:rFonts w:ascii="Cambria Math" w:hAnsi="Cambria Math"/>
          </w:rPr>
          <m:t>100%</m:t>
        </m:r>
        <m:r>
          <m:rPr>
            <m:sty m:val="p"/>
          </m:rPr>
          <w:rPr>
            <w:rFonts w:ascii="Cambria Math" w:hAnsi="Cambria Math"/>
          </w:rPr>
          <m:t xml:space="preserve"> </m:t>
        </m:r>
      </m:oMath>
      <w:r>
        <w:rPr>
          <w:rFonts w:ascii="微软雅黑" w:hAnsi="微软雅黑" w:eastAsia="微软雅黑"/>
        </w:rPr>
        <w:tab/>
      </w:r>
      <w:r>
        <w:t>(</w:t>
      </w:r>
      <w:r>
        <w:fldChar w:fldCharType="begin"/>
      </w:r>
      <w:r>
        <w:instrText xml:space="preserve"> AUTONUM </w:instrText>
      </w:r>
      <w:r>
        <w:fldChar w:fldCharType="end"/>
      </w:r>
      <w:r>
        <w:t>)</w:t>
      </w:r>
    </w:p>
    <w:p w14:paraId="500AA47A">
      <w:pPr>
        <w:snapToGrid w:val="0"/>
        <w:spacing w:line="240" w:lineRule="auto"/>
        <w:ind w:firstLine="420" w:firstLineChars="200"/>
      </w:pPr>
      <w:r>
        <w:rPr>
          <w:rFonts w:hint="eastAsia"/>
        </w:rPr>
        <w:t>式中：</w:t>
      </w:r>
    </w:p>
    <w:p w14:paraId="7F2208D2">
      <w:pPr>
        <w:snapToGrid w:val="0"/>
        <w:spacing w:line="240" w:lineRule="auto"/>
        <w:ind w:firstLine="840" w:firstLineChars="400"/>
      </w:pPr>
      <m:oMath>
        <m:sSub>
          <m:sSubPr>
            <m:ctrlPr>
              <w:rPr>
                <w:rFonts w:ascii="Cambria Math" w:hAnsi="Cambria Math"/>
                <w:i/>
              </w:rPr>
            </m:ctrlPr>
          </m:sSubPr>
          <m:e>
            <m:r>
              <m:rPr/>
              <w:rPr>
                <w:rFonts w:ascii="Cambria Math" w:hAnsi="Cambria Math"/>
              </w:rPr>
              <m:t>I</m:t>
            </m:r>
            <m:ctrlPr>
              <w:rPr>
                <w:rFonts w:ascii="Cambria Math" w:hAnsi="Cambria Math"/>
                <w:i/>
              </w:rPr>
            </m:ctrlPr>
          </m:e>
          <m:sub>
            <m:r>
              <m:rPr>
                <m:sty m:val="p"/>
              </m:rPr>
              <w:rPr>
                <w:rFonts w:ascii="Cambria Math" w:hAnsi="Cambria Math"/>
              </w:rPr>
              <m:t>cya</m:t>
            </m:r>
            <m:ctrlPr>
              <w:rPr>
                <w:rFonts w:ascii="Cambria Math" w:hAnsi="Cambria Math"/>
                <w:i/>
              </w:rPr>
            </m:ctrlPr>
          </m:sub>
        </m:sSub>
      </m:oMath>
      <w:r>
        <w:rPr>
          <w:rFonts w:hint="eastAsia"/>
        </w:rPr>
        <w:t>——年</w:t>
      </w:r>
      <w:r>
        <w:t>蓝藻水华强度指数；</w:t>
      </w:r>
    </w:p>
    <w:p w14:paraId="128777AB">
      <w:pPr>
        <w:snapToGrid w:val="0"/>
        <w:spacing w:line="240" w:lineRule="auto"/>
        <w:ind w:firstLine="840" w:firstLineChars="400"/>
      </w:pPr>
      <m:oMath>
        <m:sSub>
          <m:sSubPr>
            <m:ctrlPr>
              <w:rPr>
                <w:rFonts w:ascii="Cambria Math" w:hAnsi="Cambria Math"/>
                <w:i/>
              </w:rPr>
            </m:ctrlPr>
          </m:sSubPr>
          <m:e>
            <m:r>
              <m:rPr/>
              <w:rPr>
                <w:rFonts w:ascii="Cambria Math" w:hAnsi="Cambria Math"/>
              </w:rPr>
              <m:t>S</m:t>
            </m:r>
            <m:ctrlPr>
              <w:rPr>
                <w:rFonts w:ascii="Cambria Math" w:hAnsi="Cambria Math"/>
                <w:i/>
              </w:rPr>
            </m:ctrlPr>
          </m:e>
          <m:sub>
            <m:r>
              <m:rPr>
                <m:sty m:val="p"/>
              </m:rPr>
              <w:rPr>
                <w:rFonts w:ascii="Cambria Math" w:hAnsi="Cambria Math"/>
              </w:rPr>
              <m:t>y</m:t>
            </m:r>
            <m:r>
              <m:rPr/>
              <w:rPr>
                <w:rFonts w:ascii="Cambria Math" w:hAnsi="Cambria Math"/>
              </w:rPr>
              <m:t>,i</m:t>
            </m:r>
            <m:ctrlPr>
              <w:rPr>
                <w:rFonts w:ascii="Cambria Math" w:hAnsi="Cambria Math"/>
                <w:i/>
              </w:rPr>
            </m:ctrlPr>
          </m:sub>
        </m:sSub>
      </m:oMath>
      <w:r>
        <w:rPr>
          <w:rFonts w:hint="eastAsia"/>
        </w:rPr>
        <w:t>——</w:t>
      </w:r>
      <w:r>
        <w:t>当年累计蓝藻水华</w:t>
      </w:r>
      <w:r>
        <w:rPr>
          <w:rFonts w:hint="eastAsia"/>
        </w:rPr>
        <w:t>影响</w:t>
      </w:r>
      <w:r>
        <w:t>面积</w:t>
      </w:r>
      <w:r>
        <w:rPr>
          <w:rFonts w:hint="eastAsia"/>
        </w:rPr>
        <w:t>，单位为平方千米（</w:t>
      </w:r>
      <w:r>
        <w:rPr>
          <w:rFonts w:ascii="Times New Roman" w:hAnsi="Times New Roman"/>
        </w:rPr>
        <w:t>km</w:t>
      </w:r>
      <w:r>
        <w:rPr>
          <w:rFonts w:ascii="Times New Roman" w:hAnsi="Times New Roman"/>
          <w:vertAlign w:val="superscript"/>
        </w:rPr>
        <w:t>2</w:t>
      </w:r>
      <w:r>
        <w:rPr>
          <w:rFonts w:hint="eastAsia"/>
        </w:rPr>
        <w:t>）；</w:t>
      </w:r>
    </w:p>
    <w:p w14:paraId="3F884294">
      <w:pPr>
        <w:snapToGrid w:val="0"/>
        <w:spacing w:line="240" w:lineRule="auto"/>
        <w:ind w:firstLine="840" w:firstLineChars="400"/>
      </w:pPr>
      <m:oMath>
        <m:sSub>
          <m:sSubPr>
            <m:ctrlPr>
              <w:rPr>
                <w:rFonts w:ascii="Cambria Math" w:hAnsi="Cambria Math"/>
                <w:i/>
              </w:rPr>
            </m:ctrlPr>
          </m:sSubPr>
          <m:e>
            <m:r>
              <m:rPr/>
              <w:rPr>
                <w:rFonts w:ascii="Cambria Math" w:hAnsi="Cambria Math"/>
              </w:rPr>
              <m:t>F</m:t>
            </m:r>
            <m:ctrlPr>
              <w:rPr>
                <w:rFonts w:ascii="Cambria Math" w:hAnsi="Cambria Math"/>
                <w:i/>
              </w:rPr>
            </m:ctrlPr>
          </m:e>
          <m:sub>
            <m:r>
              <m:rPr>
                <m:sty m:val="p"/>
              </m:rPr>
              <w:rPr>
                <w:rFonts w:ascii="Cambria Math" w:hAnsi="Cambria Math"/>
              </w:rPr>
              <m:t>y</m:t>
            </m:r>
            <m:r>
              <m:rPr/>
              <w:rPr>
                <w:rFonts w:ascii="Cambria Math" w:hAnsi="Cambria Math"/>
              </w:rPr>
              <m:t>,i</m:t>
            </m:r>
            <m:ctrlPr>
              <w:rPr>
                <w:rFonts w:ascii="Cambria Math" w:hAnsi="Cambria Math"/>
                <w:i/>
              </w:rPr>
            </m:ctrlPr>
          </m:sub>
        </m:sSub>
      </m:oMath>
      <w:r>
        <w:rPr>
          <w:rFonts w:hint="eastAsia"/>
        </w:rPr>
        <w:t>——</w:t>
      </w:r>
      <w:r>
        <w:t>当年累计蓝藻水华次数</w:t>
      </w:r>
      <w:r>
        <w:rPr>
          <w:rFonts w:hint="eastAsia"/>
        </w:rPr>
        <w:t>；</w:t>
      </w:r>
    </w:p>
    <w:p w14:paraId="34A41707">
      <w:pPr>
        <w:snapToGrid w:val="0"/>
        <w:spacing w:line="240" w:lineRule="auto"/>
        <w:ind w:firstLine="840" w:firstLineChars="400"/>
      </w:pPr>
      <m:oMath>
        <m:sSub>
          <m:sSubPr>
            <m:ctrlPr>
              <w:rPr>
                <w:rFonts w:ascii="Cambria Math" w:hAnsi="Cambria Math"/>
                <w:i/>
              </w:rPr>
            </m:ctrlPr>
          </m:sSubPr>
          <m:e>
            <m:r>
              <m:rPr/>
              <w:rPr>
                <w:rFonts w:ascii="Cambria Math" w:hAnsi="Cambria Math"/>
              </w:rPr>
              <m:t>S</m:t>
            </m:r>
            <m:ctrlPr>
              <w:rPr>
                <w:rFonts w:ascii="Cambria Math" w:hAnsi="Cambria Math"/>
                <w:i/>
              </w:rPr>
            </m:ctrlPr>
          </m:e>
          <m:sub>
            <m:r>
              <m:rPr>
                <m:sty m:val="p"/>
              </m:rPr>
              <w:rPr>
                <w:rFonts w:ascii="Cambria Math" w:hAnsi="Cambria Math"/>
              </w:rPr>
              <m:t>y,min</m:t>
            </m:r>
            <m:ctrlPr>
              <w:rPr>
                <w:rFonts w:ascii="Cambria Math" w:hAnsi="Cambria Math"/>
                <w:i/>
              </w:rPr>
            </m:ctrlPr>
          </m:sub>
        </m:sSub>
      </m:oMath>
      <w:r>
        <w:rPr>
          <w:rFonts w:hint="eastAsia"/>
        </w:rPr>
        <w:t>——</w:t>
      </w:r>
      <w:r>
        <w:t>历年</w:t>
      </w:r>
      <w:r>
        <w:rPr>
          <w:rFonts w:hint="eastAsia"/>
        </w:rPr>
        <w:t>（含当年）</w:t>
      </w:r>
      <w:r>
        <w:t>累计蓝藻水华</w:t>
      </w:r>
      <w:r>
        <w:rPr>
          <w:rFonts w:hint="eastAsia"/>
        </w:rPr>
        <w:t>影响</w:t>
      </w:r>
      <w:r>
        <w:t>面积</w:t>
      </w:r>
      <w:r>
        <w:rPr>
          <w:rFonts w:hint="eastAsia"/>
        </w:rPr>
        <w:t>的</w:t>
      </w:r>
      <w:r>
        <w:t>最小值</w:t>
      </w:r>
      <w:r>
        <w:rPr>
          <w:rFonts w:hint="eastAsia"/>
        </w:rPr>
        <w:t>，单位为平方千米（</w:t>
      </w:r>
      <w:r>
        <w:rPr>
          <w:rFonts w:ascii="Times New Roman" w:hAnsi="Times New Roman"/>
        </w:rPr>
        <w:t>km</w:t>
      </w:r>
      <w:r>
        <w:rPr>
          <w:rFonts w:ascii="Times New Roman" w:hAnsi="Times New Roman"/>
          <w:vertAlign w:val="superscript"/>
        </w:rPr>
        <w:t>2</w:t>
      </w:r>
      <w:r>
        <w:rPr>
          <w:rFonts w:hint="eastAsia"/>
        </w:rPr>
        <w:t>）；</w:t>
      </w:r>
    </w:p>
    <w:p w14:paraId="103B39E0">
      <w:pPr>
        <w:snapToGrid w:val="0"/>
        <w:spacing w:line="240" w:lineRule="auto"/>
        <w:ind w:firstLine="840" w:firstLineChars="400"/>
      </w:pPr>
      <m:oMath>
        <m:sSub>
          <m:sSubPr>
            <m:ctrlPr>
              <w:rPr>
                <w:rFonts w:ascii="Cambria Math" w:hAnsi="Cambria Math"/>
                <w:i/>
              </w:rPr>
            </m:ctrlPr>
          </m:sSubPr>
          <m:e>
            <m:r>
              <m:rPr/>
              <w:rPr>
                <w:rFonts w:ascii="Cambria Math" w:hAnsi="Cambria Math"/>
              </w:rPr>
              <m:t>S</m:t>
            </m:r>
            <m:ctrlPr>
              <w:rPr>
                <w:rFonts w:ascii="Cambria Math" w:hAnsi="Cambria Math"/>
                <w:i/>
              </w:rPr>
            </m:ctrlPr>
          </m:e>
          <m:sub>
            <m:r>
              <m:rPr>
                <m:sty m:val="p"/>
              </m:rPr>
              <w:rPr>
                <w:rFonts w:ascii="Cambria Math" w:hAnsi="Cambria Math"/>
              </w:rPr>
              <m:t>y,max</m:t>
            </m:r>
            <m:ctrlPr>
              <w:rPr>
                <w:rFonts w:ascii="Cambria Math" w:hAnsi="Cambria Math"/>
                <w:i/>
              </w:rPr>
            </m:ctrlPr>
          </m:sub>
        </m:sSub>
      </m:oMath>
      <w:r>
        <w:rPr>
          <w:rFonts w:hint="eastAsia"/>
        </w:rPr>
        <w:t>——</w:t>
      </w:r>
      <w:r>
        <w:t>历年</w:t>
      </w:r>
      <w:r>
        <w:rPr>
          <w:rFonts w:hint="eastAsia"/>
        </w:rPr>
        <w:t>（含当年）</w:t>
      </w:r>
      <w:r>
        <w:t>累计蓝藻水华</w:t>
      </w:r>
      <w:r>
        <w:rPr>
          <w:rFonts w:hint="eastAsia"/>
        </w:rPr>
        <w:t>影响</w:t>
      </w:r>
      <w:r>
        <w:t>面积</w:t>
      </w:r>
      <w:r>
        <w:rPr>
          <w:rFonts w:hint="eastAsia"/>
        </w:rPr>
        <w:t>的</w:t>
      </w:r>
      <w:r>
        <w:t>最大值</w:t>
      </w:r>
      <w:r>
        <w:rPr>
          <w:rFonts w:hint="eastAsia"/>
        </w:rPr>
        <w:t>，单位为平方千米（</w:t>
      </w:r>
      <w:r>
        <w:rPr>
          <w:rFonts w:ascii="Times New Roman" w:hAnsi="Times New Roman"/>
        </w:rPr>
        <w:t>km</w:t>
      </w:r>
      <w:r>
        <w:rPr>
          <w:rFonts w:ascii="Times New Roman" w:hAnsi="Times New Roman"/>
          <w:vertAlign w:val="superscript"/>
        </w:rPr>
        <w:t>2</w:t>
      </w:r>
      <w:r>
        <w:rPr>
          <w:rFonts w:hint="eastAsia"/>
        </w:rPr>
        <w:t>）</w:t>
      </w:r>
      <w:r>
        <w:t>；</w:t>
      </w:r>
    </w:p>
    <w:p w14:paraId="4932F468">
      <w:pPr>
        <w:snapToGrid w:val="0"/>
        <w:spacing w:line="240" w:lineRule="auto"/>
        <w:ind w:firstLine="840" w:firstLineChars="400"/>
      </w:pPr>
      <m:oMath>
        <m:sSub>
          <m:sSubPr>
            <m:ctrlPr>
              <w:rPr>
                <w:rFonts w:ascii="Cambria Math" w:hAnsi="Cambria Math"/>
                <w:i/>
              </w:rPr>
            </m:ctrlPr>
          </m:sSubPr>
          <m:e>
            <m:r>
              <m:rPr/>
              <w:rPr>
                <w:rFonts w:ascii="Cambria Math" w:hAnsi="Cambria Math"/>
              </w:rPr>
              <m:t>F</m:t>
            </m:r>
            <m:ctrlPr>
              <w:rPr>
                <w:rFonts w:ascii="Cambria Math" w:hAnsi="Cambria Math"/>
                <w:i/>
              </w:rPr>
            </m:ctrlPr>
          </m:e>
          <m:sub>
            <m:r>
              <m:rPr>
                <m:sty m:val="p"/>
              </m:rPr>
              <w:rPr>
                <w:rFonts w:ascii="Cambria Math" w:hAnsi="Cambria Math"/>
              </w:rPr>
              <m:t>y,min</m:t>
            </m:r>
            <m:ctrlPr>
              <w:rPr>
                <w:rFonts w:ascii="Cambria Math" w:hAnsi="Cambria Math"/>
                <w:i/>
              </w:rPr>
            </m:ctrlPr>
          </m:sub>
        </m:sSub>
      </m:oMath>
      <w:r>
        <w:rPr>
          <w:rFonts w:hint="eastAsia"/>
        </w:rPr>
        <w:t>——</w:t>
      </w:r>
      <w:r>
        <w:t>历年</w:t>
      </w:r>
      <w:r>
        <w:rPr>
          <w:rFonts w:hint="eastAsia"/>
        </w:rPr>
        <w:t>（含当年）</w:t>
      </w:r>
      <w:r>
        <w:t>累计蓝藻水华次数</w:t>
      </w:r>
      <w:r>
        <w:rPr>
          <w:rFonts w:hint="eastAsia"/>
        </w:rPr>
        <w:t>的</w:t>
      </w:r>
      <w:r>
        <w:t>最小值</w:t>
      </w:r>
      <w:r>
        <w:rPr>
          <w:rFonts w:hint="eastAsia"/>
        </w:rPr>
        <w:t>；</w:t>
      </w:r>
    </w:p>
    <w:p w14:paraId="5049A18F">
      <w:pPr>
        <w:snapToGrid w:val="0"/>
        <w:spacing w:line="240" w:lineRule="auto"/>
        <w:ind w:firstLine="840" w:firstLineChars="400"/>
      </w:pPr>
      <m:oMath>
        <m:sSub>
          <m:sSubPr>
            <m:ctrlPr>
              <w:rPr>
                <w:rFonts w:ascii="Cambria Math" w:hAnsi="Cambria Math"/>
                <w:i/>
              </w:rPr>
            </m:ctrlPr>
          </m:sSubPr>
          <m:e>
            <m:r>
              <m:rPr/>
              <w:rPr>
                <w:rFonts w:ascii="Cambria Math" w:hAnsi="Cambria Math"/>
              </w:rPr>
              <m:t>F</m:t>
            </m:r>
            <m:ctrlPr>
              <w:rPr>
                <w:rFonts w:ascii="Cambria Math" w:hAnsi="Cambria Math"/>
                <w:i/>
              </w:rPr>
            </m:ctrlPr>
          </m:e>
          <m:sub>
            <m:r>
              <m:rPr>
                <m:sty m:val="p"/>
              </m:rPr>
              <w:rPr>
                <w:rFonts w:ascii="Cambria Math" w:hAnsi="Cambria Math"/>
              </w:rPr>
              <m:t>y,max</m:t>
            </m:r>
            <m:ctrlPr>
              <w:rPr>
                <w:rFonts w:ascii="Cambria Math" w:hAnsi="Cambria Math"/>
                <w:i/>
              </w:rPr>
            </m:ctrlPr>
          </m:sub>
        </m:sSub>
      </m:oMath>
      <w:r>
        <w:rPr>
          <w:rFonts w:hint="eastAsia"/>
        </w:rPr>
        <w:t>——</w:t>
      </w:r>
      <w:r>
        <w:t>历年</w:t>
      </w:r>
      <w:r>
        <w:rPr>
          <w:rFonts w:hint="eastAsia"/>
        </w:rPr>
        <w:t>（含当年）</w:t>
      </w:r>
      <w:r>
        <w:t>累计蓝藻水华次数</w:t>
      </w:r>
      <w:r>
        <w:rPr>
          <w:rFonts w:hint="eastAsia"/>
        </w:rPr>
        <w:t>的</w:t>
      </w:r>
      <w:r>
        <w:t>最大值</w:t>
      </w:r>
      <w:r>
        <w:rPr>
          <w:rFonts w:hint="eastAsia"/>
        </w:rPr>
        <w:t>。</w:t>
      </w:r>
    </w:p>
    <w:p w14:paraId="6E77D27D">
      <w:pPr>
        <w:pStyle w:val="105"/>
        <w:spacing w:before="156" w:after="156"/>
        <w:ind w:left="0"/>
      </w:pPr>
      <w:bookmarkStart w:id="95" w:name="_Toc176942300"/>
      <w:bookmarkStart w:id="96" w:name="_Toc176942027"/>
      <w:bookmarkStart w:id="97" w:name="_Toc177716131"/>
      <w:bookmarkStart w:id="98" w:name="_Toc176940624"/>
      <w:bookmarkStart w:id="99" w:name="_Toc176941220"/>
      <w:r>
        <w:rPr>
          <w:rFonts w:hint="eastAsia"/>
        </w:rPr>
        <w:t>蓝藻水华强度分级</w:t>
      </w:r>
      <w:bookmarkEnd w:id="95"/>
      <w:bookmarkEnd w:id="96"/>
      <w:bookmarkEnd w:id="97"/>
      <w:bookmarkEnd w:id="98"/>
      <w:bookmarkEnd w:id="99"/>
    </w:p>
    <w:p w14:paraId="224C1960">
      <w:pPr>
        <w:pStyle w:val="56"/>
        <w:ind w:firstLine="420"/>
      </w:pPr>
      <w:r>
        <w:rPr>
          <w:rFonts w:hint="eastAsia"/>
        </w:rPr>
        <w:t>根据蓝藻水华强度指数</w:t>
      </w:r>
      <m:oMath>
        <m:sSub>
          <m:sSubPr>
            <m:ctrlPr>
              <w:rPr>
                <w:rFonts w:ascii="Cambria Math" w:hAnsi="Cambria Math"/>
                <w:i/>
              </w:rPr>
            </m:ctrlPr>
          </m:sSubPr>
          <m:e>
            <m:r>
              <m:rPr/>
              <w:rPr>
                <w:rFonts w:ascii="Cambria Math" w:hAnsi="Cambria Math"/>
              </w:rPr>
              <m:t>I</m:t>
            </m:r>
            <m:ctrlPr>
              <w:rPr>
                <w:rFonts w:ascii="Cambria Math" w:hAnsi="Cambria Math"/>
                <w:i/>
              </w:rPr>
            </m:ctrlPr>
          </m:e>
          <m:sub>
            <m:r>
              <m:rPr>
                <m:sty m:val="p"/>
              </m:rPr>
              <w:rPr>
                <w:rFonts w:ascii="Cambria Math" w:hAnsi="Cambria Math"/>
              </w:rPr>
              <m:t>cya</m:t>
            </m:r>
            <m:ctrlPr>
              <w:rPr>
                <w:rFonts w:ascii="Cambria Math" w:hAnsi="Cambria Math"/>
                <w:i/>
              </w:rPr>
            </m:ctrlPr>
          </m:sub>
        </m:sSub>
      </m:oMath>
      <w:r>
        <w:rPr>
          <w:rFonts w:hint="eastAsia"/>
        </w:rPr>
        <w:t>，采用百分位数法将蓝藻水华强度分为轻度、中度和重度三级，分级指标见表1。</w:t>
      </w:r>
    </w:p>
    <w:p w14:paraId="1BAC6815">
      <w:pPr>
        <w:pStyle w:val="112"/>
        <w:spacing w:before="156" w:after="156"/>
      </w:pPr>
      <w:r>
        <w:rPr>
          <w:rFonts w:hint="eastAsia"/>
        </w:rPr>
        <w:t>蓝藻水华强度分级指标</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112662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4667" w:type="dxa"/>
            <w:tcBorders>
              <w:top w:val="single" w:color="auto" w:sz="8" w:space="0"/>
              <w:bottom w:val="single" w:color="auto" w:sz="8" w:space="0"/>
            </w:tcBorders>
            <w:shd w:val="clear" w:color="auto" w:fill="auto"/>
            <w:vAlign w:val="center"/>
          </w:tcPr>
          <w:p w14:paraId="1349AF2E">
            <w:pPr>
              <w:jc w:val="center"/>
            </w:pPr>
            <w:r>
              <w:rPr>
                <w:rFonts w:hint="eastAsia"/>
              </w:rPr>
              <w:t>蓝藻水华强度等级</w:t>
            </w:r>
          </w:p>
        </w:tc>
        <w:tc>
          <w:tcPr>
            <w:tcW w:w="4667" w:type="dxa"/>
            <w:tcBorders>
              <w:top w:val="single" w:color="auto" w:sz="8" w:space="0"/>
              <w:bottom w:val="single" w:color="auto" w:sz="8" w:space="0"/>
            </w:tcBorders>
            <w:shd w:val="clear" w:color="auto" w:fill="auto"/>
            <w:vAlign w:val="center"/>
          </w:tcPr>
          <w:p w14:paraId="76D44460">
            <w:pPr>
              <w:jc w:val="center"/>
            </w:pPr>
            <w:r>
              <w:rPr>
                <w:rFonts w:hint="eastAsia"/>
              </w:rPr>
              <w:t>蓝藻水华强度指数</w:t>
            </w:r>
            <m:oMath>
              <m:sSub>
                <m:sSubPr>
                  <m:ctrlPr>
                    <w:rPr>
                      <w:rFonts w:ascii="Cambria Math" w:hAnsi="Cambria Math"/>
                      <w:i/>
                      <w:sz w:val="18"/>
                      <w:szCs w:val="18"/>
                    </w:rPr>
                  </m:ctrlPr>
                </m:sSubPr>
                <m:e>
                  <m:r>
                    <m:rPr/>
                    <w:rPr>
                      <w:rFonts w:ascii="Cambria Math" w:hAnsi="Cambria Math"/>
                      <w:sz w:val="18"/>
                      <w:szCs w:val="18"/>
                    </w:rPr>
                    <m:t>I</m:t>
                  </m:r>
                  <m:ctrlPr>
                    <w:rPr>
                      <w:rFonts w:ascii="Cambria Math" w:hAnsi="Cambria Math"/>
                      <w:i/>
                      <w:sz w:val="18"/>
                      <w:szCs w:val="18"/>
                    </w:rPr>
                  </m:ctrlPr>
                </m:e>
                <m:sub>
                  <m:r>
                    <m:rPr>
                      <m:sty m:val="p"/>
                    </m:rPr>
                    <w:rPr>
                      <w:rFonts w:ascii="Cambria Math" w:hAnsi="Cambria Math"/>
                      <w:sz w:val="18"/>
                      <w:szCs w:val="18"/>
                    </w:rPr>
                    <m:t>c</m:t>
                  </m:r>
                  <m:r>
                    <m:rPr>
                      <m:sty m:val="p"/>
                    </m:rPr>
                    <w:rPr>
                      <w:rFonts w:hint="eastAsia" w:ascii="Cambria Math" w:hAnsi="Cambria Math"/>
                      <w:sz w:val="18"/>
                      <w:szCs w:val="18"/>
                    </w:rPr>
                    <m:t>ya</m:t>
                  </m:r>
                  <m:ctrlPr>
                    <w:rPr>
                      <w:rFonts w:ascii="Cambria Math" w:hAnsi="Cambria Math"/>
                      <w:i/>
                      <w:sz w:val="18"/>
                      <w:szCs w:val="18"/>
                    </w:rPr>
                  </m:ctrlPr>
                </m:sub>
              </m:sSub>
            </m:oMath>
          </w:p>
        </w:tc>
      </w:tr>
      <w:tr w14:paraId="353BFC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shd w:val="clear" w:color="auto" w:fill="auto"/>
            <w:vAlign w:val="center"/>
          </w:tcPr>
          <w:p w14:paraId="0D635D57">
            <w:pPr>
              <w:jc w:val="center"/>
            </w:pPr>
            <w:r>
              <w:rPr>
                <w:rFonts w:hint="eastAsia"/>
              </w:rPr>
              <w:t>轻 度</w:t>
            </w:r>
          </w:p>
        </w:tc>
        <w:tc>
          <w:tcPr>
            <w:tcW w:w="4667" w:type="dxa"/>
            <w:tcBorders>
              <w:top w:val="single" w:color="auto" w:sz="8" w:space="0"/>
            </w:tcBorders>
            <w:shd w:val="clear" w:color="auto" w:fill="auto"/>
            <w:vAlign w:val="center"/>
          </w:tcPr>
          <w:p w14:paraId="29605C8F">
            <w:pPr>
              <w:snapToGrid w:val="0"/>
              <w:spacing w:line="360" w:lineRule="auto"/>
              <w:jc w:val="center"/>
              <w:rPr>
                <w:sz w:val="18"/>
                <w:szCs w:val="18"/>
              </w:rPr>
            </w:pPr>
            <w:r>
              <w:rPr>
                <w:sz w:val="18"/>
                <w:szCs w:val="18"/>
              </w:rPr>
              <w:t>0＜</w:t>
            </w:r>
            <m:oMath>
              <m:sSub>
                <m:sSubPr>
                  <m:ctrlPr>
                    <w:rPr>
                      <w:rFonts w:ascii="Cambria Math" w:hAnsi="Cambria Math"/>
                      <w:sz w:val="18"/>
                      <w:szCs w:val="18"/>
                    </w:rPr>
                  </m:ctrlPr>
                </m:sSubPr>
                <m:e>
                  <m:r>
                    <m:rPr/>
                    <w:rPr>
                      <w:rFonts w:ascii="Cambria Math" w:hAnsi="Cambria Math"/>
                      <w:sz w:val="18"/>
                      <w:szCs w:val="18"/>
                    </w:rPr>
                    <m:t>I</m:t>
                  </m:r>
                  <m:ctrlPr>
                    <w:rPr>
                      <w:rFonts w:ascii="Cambria Math" w:hAnsi="Cambria Math"/>
                      <w:sz w:val="18"/>
                      <w:szCs w:val="18"/>
                    </w:rPr>
                  </m:ctrlPr>
                </m:e>
                <m:sub>
                  <m:r>
                    <m:rPr>
                      <m:sty m:val="p"/>
                    </m:rPr>
                    <w:rPr>
                      <w:rFonts w:ascii="Cambria Math" w:hAnsi="Cambria Math"/>
                      <w:sz w:val="18"/>
                      <w:szCs w:val="18"/>
                    </w:rPr>
                    <m:t>cya</m:t>
                  </m:r>
                  <m:ctrlPr>
                    <w:rPr>
                      <w:rFonts w:ascii="Cambria Math" w:hAnsi="Cambria Math"/>
                      <w:sz w:val="18"/>
                      <w:szCs w:val="18"/>
                    </w:rPr>
                  </m:ctrlPr>
                </m:sub>
              </m:sSub>
            </m:oMath>
            <w:r>
              <w:rPr>
                <w:rFonts w:hint="eastAsia"/>
                <w:sz w:val="18"/>
                <w:szCs w:val="18"/>
              </w:rPr>
              <w:t>≤</w:t>
            </w:r>
            <w:r>
              <w:rPr>
                <w:sz w:val="18"/>
                <w:szCs w:val="18"/>
              </w:rPr>
              <w:t>0.23</w:t>
            </w:r>
          </w:p>
        </w:tc>
      </w:tr>
      <w:tr w14:paraId="16A7D5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6E7DE342">
            <w:pPr>
              <w:jc w:val="center"/>
            </w:pPr>
            <w:r>
              <w:rPr>
                <w:rFonts w:hint="eastAsia"/>
              </w:rPr>
              <w:t>中 度</w:t>
            </w:r>
          </w:p>
        </w:tc>
        <w:tc>
          <w:tcPr>
            <w:tcW w:w="4667" w:type="dxa"/>
            <w:shd w:val="clear" w:color="auto" w:fill="auto"/>
            <w:vAlign w:val="center"/>
          </w:tcPr>
          <w:p w14:paraId="1674EF0A">
            <w:pPr>
              <w:snapToGrid w:val="0"/>
              <w:spacing w:line="360" w:lineRule="auto"/>
              <w:jc w:val="center"/>
              <w:rPr>
                <w:sz w:val="18"/>
                <w:szCs w:val="18"/>
              </w:rPr>
            </w:pPr>
            <w:r>
              <w:rPr>
                <w:sz w:val="18"/>
                <w:szCs w:val="18"/>
              </w:rPr>
              <w:t>0.23＜</w:t>
            </w:r>
            <m:oMath>
              <m:sSub>
                <m:sSubPr>
                  <m:ctrlPr>
                    <w:rPr>
                      <w:rFonts w:ascii="Cambria Math" w:hAnsi="Cambria Math"/>
                      <w:i/>
                      <w:sz w:val="18"/>
                      <w:szCs w:val="18"/>
                    </w:rPr>
                  </m:ctrlPr>
                </m:sSubPr>
                <m:e>
                  <m:r>
                    <m:rPr/>
                    <w:rPr>
                      <w:rFonts w:ascii="Cambria Math" w:hAnsi="Cambria Math"/>
                      <w:sz w:val="18"/>
                      <w:szCs w:val="18"/>
                    </w:rPr>
                    <m:t>I</m:t>
                  </m:r>
                  <m:ctrlPr>
                    <w:rPr>
                      <w:rFonts w:ascii="Cambria Math" w:hAnsi="Cambria Math"/>
                      <w:i/>
                      <w:sz w:val="18"/>
                      <w:szCs w:val="18"/>
                    </w:rPr>
                  </m:ctrlPr>
                </m:e>
                <m:sub>
                  <m:r>
                    <m:rPr>
                      <m:sty m:val="p"/>
                    </m:rPr>
                    <w:rPr>
                      <w:rFonts w:ascii="Cambria Math" w:hAnsi="Cambria Math"/>
                      <w:sz w:val="18"/>
                      <w:szCs w:val="18"/>
                    </w:rPr>
                    <m:t>cya</m:t>
                  </m:r>
                  <m:ctrlPr>
                    <w:rPr>
                      <w:rFonts w:ascii="Cambria Math" w:hAnsi="Cambria Math"/>
                      <w:i/>
                      <w:sz w:val="18"/>
                      <w:szCs w:val="18"/>
                    </w:rPr>
                  </m:ctrlPr>
                </m:sub>
              </m:sSub>
            </m:oMath>
            <w:r>
              <w:rPr>
                <w:rFonts w:hint="eastAsia"/>
                <w:sz w:val="18"/>
                <w:szCs w:val="18"/>
              </w:rPr>
              <w:t>≤</w:t>
            </w:r>
            <w:r>
              <w:rPr>
                <w:sz w:val="18"/>
                <w:szCs w:val="18"/>
              </w:rPr>
              <w:t>0.40</w:t>
            </w:r>
          </w:p>
        </w:tc>
      </w:tr>
      <w:tr w14:paraId="4AA7CA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3" w:hRule="atLeast"/>
          <w:jc w:val="center"/>
        </w:trPr>
        <w:tc>
          <w:tcPr>
            <w:tcW w:w="4667" w:type="dxa"/>
            <w:shd w:val="clear" w:color="auto" w:fill="auto"/>
            <w:vAlign w:val="center"/>
          </w:tcPr>
          <w:p w14:paraId="5E895E6C">
            <w:pPr>
              <w:jc w:val="center"/>
            </w:pPr>
            <w:r>
              <w:rPr>
                <w:rFonts w:hint="eastAsia"/>
              </w:rPr>
              <w:t>重 度</w:t>
            </w:r>
          </w:p>
        </w:tc>
        <w:tc>
          <w:tcPr>
            <w:tcW w:w="4667" w:type="dxa"/>
            <w:shd w:val="clear" w:color="auto" w:fill="auto"/>
            <w:vAlign w:val="center"/>
          </w:tcPr>
          <w:p w14:paraId="6AB26BEB">
            <w:pPr>
              <w:snapToGrid w:val="0"/>
              <w:spacing w:line="360" w:lineRule="auto"/>
              <w:jc w:val="center"/>
              <w:rPr>
                <w:sz w:val="18"/>
                <w:szCs w:val="18"/>
              </w:rPr>
            </w:pPr>
            <w:r>
              <w:rPr>
                <w:sz w:val="18"/>
                <w:szCs w:val="18"/>
              </w:rPr>
              <w:t>0.40＜</w:t>
            </w:r>
            <m:oMath>
              <m:sSub>
                <m:sSubPr>
                  <m:ctrlPr>
                    <w:rPr>
                      <w:rFonts w:ascii="Cambria Math" w:hAnsi="Cambria Math"/>
                      <w:sz w:val="18"/>
                      <w:szCs w:val="18"/>
                    </w:rPr>
                  </m:ctrlPr>
                </m:sSubPr>
                <m:e>
                  <m:r>
                    <m:rPr/>
                    <w:rPr>
                      <w:rFonts w:ascii="Cambria Math" w:hAnsi="Cambria Math"/>
                      <w:sz w:val="18"/>
                      <w:szCs w:val="18"/>
                    </w:rPr>
                    <m:t>I</m:t>
                  </m:r>
                  <m:ctrlPr>
                    <w:rPr>
                      <w:rFonts w:ascii="Cambria Math" w:hAnsi="Cambria Math"/>
                      <w:sz w:val="18"/>
                      <w:szCs w:val="18"/>
                    </w:rPr>
                  </m:ctrlPr>
                </m:e>
                <m:sub>
                  <m:r>
                    <m:rPr>
                      <m:sty m:val="p"/>
                    </m:rPr>
                    <w:rPr>
                      <w:rFonts w:ascii="Cambria Math" w:hAnsi="Cambria Math"/>
                      <w:sz w:val="18"/>
                      <w:szCs w:val="18"/>
                    </w:rPr>
                    <m:t>cya</m:t>
                  </m:r>
                  <m:ctrlPr>
                    <w:rPr>
                      <w:rFonts w:ascii="Cambria Math" w:hAnsi="Cambria Math"/>
                      <w:sz w:val="18"/>
                      <w:szCs w:val="18"/>
                    </w:rPr>
                  </m:ctrlPr>
                </m:sub>
              </m:sSub>
            </m:oMath>
            <w:r>
              <w:rPr>
                <w:rFonts w:hint="eastAsia"/>
                <w:sz w:val="18"/>
                <w:szCs w:val="18"/>
              </w:rPr>
              <w:t>≤</w:t>
            </w:r>
            <w:r>
              <w:rPr>
                <w:sz w:val="18"/>
                <w:szCs w:val="18"/>
              </w:rPr>
              <w:t>1.00</w:t>
            </w:r>
          </w:p>
        </w:tc>
      </w:tr>
    </w:tbl>
    <w:p w14:paraId="7F019A12">
      <w:pPr>
        <w:pStyle w:val="105"/>
        <w:spacing w:before="156" w:after="156"/>
        <w:ind w:left="0"/>
      </w:pPr>
      <w:bookmarkStart w:id="100" w:name="_Toc176940625"/>
      <w:bookmarkStart w:id="101" w:name="_Toc177716132"/>
      <w:bookmarkStart w:id="102" w:name="_Toc176942028"/>
      <w:bookmarkStart w:id="103" w:name="_Toc176942301"/>
      <w:bookmarkStart w:id="104" w:name="_Toc176941221"/>
      <w:r>
        <w:rPr>
          <w:rFonts w:hint="eastAsia"/>
        </w:rPr>
        <w:t>气象适宜度指数计算</w:t>
      </w:r>
      <w:bookmarkEnd w:id="100"/>
      <w:bookmarkEnd w:id="101"/>
      <w:bookmarkEnd w:id="102"/>
      <w:bookmarkEnd w:id="103"/>
      <w:bookmarkEnd w:id="104"/>
    </w:p>
    <w:p w14:paraId="56AF8B70">
      <w:pPr>
        <w:pStyle w:val="65"/>
        <w:spacing w:before="156" w:after="156"/>
      </w:pPr>
      <w:r>
        <w:rPr>
          <w:rFonts w:hint="eastAsia"/>
        </w:rPr>
        <w:t>气象因子筛选</w:t>
      </w:r>
    </w:p>
    <w:p w14:paraId="4B7C369D">
      <w:pPr>
        <w:pStyle w:val="56"/>
        <w:ind w:firstLine="420"/>
      </w:pPr>
      <w:r>
        <w:rPr>
          <w:rFonts w:hint="eastAsia"/>
        </w:rPr>
        <w:t>从与蓝藻水华发生发展相关的气象因子中，筛选出年平均气温</w:t>
      </w:r>
      <m:oMath>
        <m:sSub>
          <m:sSubPr>
            <m:ctrlPr>
              <w:rPr>
                <w:rFonts w:ascii="Cambria Math" w:hAnsi="Cambria Math"/>
                <w:i/>
              </w:rPr>
            </m:ctrlPr>
          </m:sSubPr>
          <m:e>
            <m:r>
              <m:rPr/>
              <w:rPr>
                <w:rFonts w:hint="eastAsia" w:ascii="Cambria Math" w:hAnsi="Cambria Math"/>
              </w:rPr>
              <m:t>T</m:t>
            </m:r>
            <m:ctrlPr>
              <w:rPr>
                <w:rFonts w:ascii="Cambria Math" w:hAnsi="Cambria Math"/>
                <w:i/>
              </w:rPr>
            </m:ctrlPr>
          </m:e>
          <m:sub>
            <m:r>
              <m:rPr>
                <m:sty m:val="p"/>
              </m:rPr>
              <w:rPr>
                <w:rFonts w:hint="eastAsia" w:ascii="Cambria Math" w:hAnsi="Cambria Math"/>
              </w:rPr>
              <m:t>y</m:t>
            </m:r>
            <m:ctrlPr>
              <w:rPr>
                <w:rFonts w:ascii="Cambria Math" w:hAnsi="Cambria Math"/>
                <w:i/>
              </w:rPr>
            </m:ctrlPr>
          </m:sub>
        </m:sSub>
      </m:oMath>
      <w:r>
        <w:rPr>
          <w:rFonts w:hint="eastAsia"/>
        </w:rPr>
        <w:t>，1-3月平均气温</w:t>
      </w:r>
      <m:oMath>
        <m:sSub>
          <m:sSubPr>
            <m:ctrlPr>
              <w:rPr>
                <w:rFonts w:ascii="Cambria Math" w:hAnsi="Cambria Math"/>
                <w:i/>
              </w:rPr>
            </m:ctrlPr>
          </m:sSubPr>
          <m:e>
            <m:r>
              <m:rPr/>
              <w:rPr>
                <w:rFonts w:hint="eastAsia" w:ascii="Cambria Math" w:hAnsi="Cambria Math"/>
              </w:rPr>
              <m:t>T</m:t>
            </m:r>
            <m:ctrlPr>
              <w:rPr>
                <w:rFonts w:ascii="Cambria Math" w:hAnsi="Cambria Math"/>
                <w:i/>
              </w:rPr>
            </m:ctrlPr>
          </m:e>
          <m:sub>
            <m:r>
              <m:rPr>
                <m:sty m:val="p"/>
              </m:rPr>
              <w:rPr>
                <w:rFonts w:ascii="Cambria Math" w:hAnsi="Cambria Math"/>
              </w:rPr>
              <m:t>1−3</m:t>
            </m:r>
            <m:ctrlPr>
              <w:rPr>
                <w:rFonts w:ascii="Cambria Math" w:hAnsi="Cambria Math"/>
                <w:i/>
              </w:rPr>
            </m:ctrlPr>
          </m:sub>
        </m:sSub>
      </m:oMath>
      <w:r>
        <w:rPr>
          <w:rFonts w:hint="eastAsia"/>
        </w:rPr>
        <w:t>，年累计降水量</w:t>
      </w:r>
      <m:oMath>
        <m:sSub>
          <m:sSubPr>
            <m:ctrlPr>
              <w:rPr>
                <w:rFonts w:ascii="Cambria Math" w:hAnsi="Cambria Math"/>
                <w:i/>
              </w:rPr>
            </m:ctrlPr>
          </m:sSubPr>
          <m:e>
            <m:r>
              <m:rPr/>
              <w:rPr>
                <w:rFonts w:hint="eastAsia" w:ascii="Cambria Math" w:hAnsi="Cambria Math"/>
              </w:rPr>
              <m:t>R</m:t>
            </m:r>
            <m:ctrlPr>
              <w:rPr>
                <w:rFonts w:ascii="Cambria Math" w:hAnsi="Cambria Math"/>
                <w:i/>
              </w:rPr>
            </m:ctrlPr>
          </m:e>
          <m:sub>
            <m:r>
              <m:rPr>
                <m:sty m:val="p"/>
              </m:rPr>
              <w:rPr>
                <w:rFonts w:hint="eastAsia" w:ascii="Cambria Math" w:hAnsi="Cambria Math"/>
              </w:rPr>
              <m:t>y</m:t>
            </m:r>
            <m:ctrlPr>
              <w:rPr>
                <w:rFonts w:ascii="Cambria Math" w:hAnsi="Cambria Math"/>
                <w:i/>
              </w:rPr>
            </m:ctrlPr>
          </m:sub>
        </m:sSub>
      </m:oMath>
      <w:r>
        <w:rPr>
          <w:rFonts w:hint="eastAsia"/>
        </w:rPr>
        <w:t>，6-8月累计降水量</w:t>
      </w:r>
      <m:oMath>
        <m:sSub>
          <m:sSubPr>
            <m:ctrlPr>
              <w:rPr>
                <w:rFonts w:ascii="Cambria Math" w:hAnsi="Cambria Math"/>
                <w:i/>
              </w:rPr>
            </m:ctrlPr>
          </m:sSubPr>
          <m:e>
            <m:r>
              <m:rPr/>
              <w:rPr>
                <w:rFonts w:hint="eastAsia" w:ascii="Cambria Math" w:hAnsi="Cambria Math"/>
              </w:rPr>
              <m:t>R</m:t>
            </m:r>
            <m:ctrlPr>
              <w:rPr>
                <w:rFonts w:ascii="Cambria Math" w:hAnsi="Cambria Math"/>
                <w:i/>
              </w:rPr>
            </m:ctrlPr>
          </m:e>
          <m:sub>
            <m:r>
              <m:rPr>
                <m:sty m:val="p"/>
              </m:rPr>
              <w:rPr>
                <w:rFonts w:ascii="Cambria Math" w:hAnsi="Cambria Math"/>
              </w:rPr>
              <m:t>6−8</m:t>
            </m:r>
            <m:ctrlPr>
              <w:rPr>
                <w:rFonts w:ascii="Cambria Math" w:hAnsi="Cambria Math"/>
                <w:i/>
              </w:rPr>
            </m:ctrlPr>
          </m:sub>
        </m:sSub>
      </m:oMath>
      <w:r>
        <w:rPr>
          <w:rFonts w:hint="eastAsia"/>
        </w:rPr>
        <w:t>，年平均高温日数</w:t>
      </w:r>
      <m:oMath>
        <m:sSub>
          <m:sSubPr>
            <m:ctrlPr>
              <w:rPr>
                <w:rFonts w:ascii="Cambria Math" w:hAnsi="Cambria Math"/>
                <w:i/>
              </w:rPr>
            </m:ctrlPr>
          </m:sSubPr>
          <m:e>
            <m:r>
              <m:rPr/>
              <w:rPr>
                <w:rFonts w:hint="eastAsia" w:ascii="Cambria Math" w:hAnsi="Cambria Math"/>
              </w:rPr>
              <m:t>D</m:t>
            </m:r>
            <m:ctrlPr>
              <w:rPr>
                <w:rFonts w:ascii="Cambria Math" w:hAnsi="Cambria Math"/>
                <w:i/>
              </w:rPr>
            </m:ctrlPr>
          </m:e>
          <m:sub>
            <m:r>
              <m:rPr>
                <m:sty m:val="p"/>
              </m:rPr>
              <w:rPr>
                <w:rFonts w:hint="eastAsia" w:ascii="Cambria Math" w:hAnsi="Cambria Math"/>
              </w:rPr>
              <m:t>T</m:t>
            </m:r>
            <m:r>
              <m:rPr>
                <m:sty m:val="p"/>
              </m:rPr>
              <w:rPr>
                <w:rFonts w:hint="eastAsia" w:ascii="Cambria Math" w:hAnsi="Cambria Math" w:eastAsia="MS Gothic" w:cs="MS Gothic"/>
              </w:rPr>
              <m:t>h</m:t>
            </m:r>
            <m:ctrlPr>
              <w:rPr>
                <w:rFonts w:ascii="Cambria Math" w:hAnsi="Cambria Math"/>
                <w:i/>
              </w:rPr>
            </m:ctrlPr>
          </m:sub>
        </m:sSub>
      </m:oMath>
      <w:r>
        <w:rPr>
          <w:rFonts w:hint="eastAsia"/>
        </w:rPr>
        <w:t>和年平均风速</w:t>
      </w:r>
      <m:oMath>
        <m:sSub>
          <m:sSubPr>
            <m:ctrlPr>
              <w:rPr>
                <w:rFonts w:ascii="Cambria Math" w:hAnsi="Cambria Math"/>
                <w:i/>
              </w:rPr>
            </m:ctrlPr>
          </m:sSubPr>
          <m:e>
            <m:r>
              <m:rPr/>
              <w:rPr>
                <w:rFonts w:hint="eastAsia" w:ascii="Cambria Math" w:hAnsi="Cambria Math"/>
              </w:rPr>
              <m:t>W</m:t>
            </m:r>
            <m:ctrlPr>
              <w:rPr>
                <w:rFonts w:ascii="Cambria Math" w:hAnsi="Cambria Math"/>
                <w:i/>
              </w:rPr>
            </m:ctrlPr>
          </m:e>
          <m:sub>
            <m:r>
              <m:rPr>
                <m:sty m:val="p"/>
              </m:rPr>
              <w:rPr>
                <w:rFonts w:hint="eastAsia" w:ascii="Cambria Math" w:hAnsi="Cambria Math"/>
              </w:rPr>
              <m:t>y</m:t>
            </m:r>
            <m:ctrlPr>
              <w:rPr>
                <w:rFonts w:ascii="Cambria Math" w:hAnsi="Cambria Math"/>
                <w:i/>
              </w:rPr>
            </m:ctrlPr>
          </m:sub>
        </m:sSub>
      </m:oMath>
      <w:r>
        <w:rPr>
          <w:rFonts w:hint="eastAsia"/>
        </w:rPr>
        <w:t>共6类气象因子，构建环境气象影响评估模型。</w:t>
      </w:r>
    </w:p>
    <w:p w14:paraId="3EAB8D2C">
      <w:pPr>
        <w:pStyle w:val="65"/>
        <w:spacing w:before="156" w:after="156"/>
      </w:pPr>
      <w:r>
        <w:rPr>
          <w:rFonts w:hint="eastAsia"/>
        </w:rPr>
        <w:t>确定权重系数</w:t>
      </w:r>
    </w:p>
    <w:p w14:paraId="75BD753F">
      <w:pPr>
        <w:pStyle w:val="56"/>
        <w:ind w:firstLine="420"/>
        <w:rPr>
          <w:szCs w:val="21"/>
        </w:rPr>
      </w:pPr>
      <w:r>
        <w:rPr>
          <w:szCs w:val="21"/>
        </w:rPr>
        <w:t>采用通径分析方法</w:t>
      </w:r>
      <w:r>
        <w:rPr>
          <w:rFonts w:hint="eastAsia"/>
          <w:szCs w:val="21"/>
        </w:rPr>
        <w:t>计算得到</w:t>
      </w:r>
      <w:r>
        <w:rPr>
          <w:szCs w:val="21"/>
        </w:rPr>
        <w:t>各气象因子对蓝藻水华发生程度的影响权重（</w:t>
      </w:r>
      <m:oMath>
        <m:sSub>
          <m:sSubPr>
            <m:ctrlPr>
              <w:rPr>
                <w:rFonts w:ascii="Cambria Math" w:hAnsi="Cambria Math"/>
                <w:szCs w:val="21"/>
              </w:rPr>
            </m:ctrlPr>
          </m:sSubPr>
          <m:e>
            <m:r>
              <m:rPr/>
              <w:rPr>
                <w:rFonts w:ascii="Cambria Math" w:hAnsi="Cambria Math"/>
                <w:szCs w:val="21"/>
              </w:rPr>
              <m:t>C</m:t>
            </m:r>
            <m:ctrlPr>
              <w:rPr>
                <w:rFonts w:ascii="Cambria Math" w:hAnsi="Cambria Math"/>
                <w:szCs w:val="21"/>
              </w:rPr>
            </m:ctrlPr>
          </m:e>
          <m:sub>
            <m:r>
              <m:rPr/>
              <w:rPr>
                <w:rFonts w:ascii="Cambria Math" w:hAnsi="Cambria Math"/>
                <w:szCs w:val="21"/>
              </w:rPr>
              <m:t>i</m:t>
            </m:r>
            <m:ctrlPr>
              <w:rPr>
                <w:rFonts w:ascii="Cambria Math" w:hAnsi="Cambria Math"/>
                <w:szCs w:val="21"/>
              </w:rPr>
            </m:ctrlPr>
          </m:sub>
        </m:sSub>
        <m:r>
          <m:rPr>
            <m:sty m:val="p"/>
          </m:rPr>
          <w:rPr>
            <w:rFonts w:ascii="Cambria Math" w:hAnsi="Cambria Math"/>
            <w:szCs w:val="21"/>
          </w:rPr>
          <m:t>，</m:t>
        </m:r>
        <m:r>
          <m:rPr/>
          <w:rPr>
            <w:rFonts w:ascii="Cambria Math" w:hAnsi="Cambria Math"/>
            <w:szCs w:val="21"/>
          </w:rPr>
          <m:t>i</m:t>
        </m:r>
        <m:r>
          <m:rPr>
            <m:sty m:val="p"/>
          </m:rPr>
          <w:rPr>
            <w:rFonts w:ascii="Cambria Math" w:hAnsi="Cambria Math"/>
            <w:szCs w:val="21"/>
          </w:rPr>
          <m:t>=1, 2，⋯，</m:t>
        </m:r>
        <m:r>
          <m:rPr/>
          <w:rPr>
            <w:rFonts w:ascii="Cambria Math" w:hAnsi="Cambria Math"/>
            <w:szCs w:val="21"/>
          </w:rPr>
          <m:t>6</m:t>
        </m:r>
      </m:oMath>
      <w:r>
        <w:rPr>
          <w:szCs w:val="21"/>
        </w:rPr>
        <w:t>），计算</w:t>
      </w:r>
      <w:r>
        <w:rPr>
          <w:rFonts w:hint="eastAsia"/>
          <w:szCs w:val="21"/>
        </w:rPr>
        <w:t>公式为</w:t>
      </w:r>
      <w:r>
        <w:rPr>
          <w:szCs w:val="21"/>
        </w:rPr>
        <w:t>：</w:t>
      </w:r>
    </w:p>
    <w:p w14:paraId="0CAE6BA3">
      <w:pPr>
        <w:pStyle w:val="113"/>
      </w:pPr>
      <w:r>
        <w:tab/>
      </w:r>
      <m:oMath>
        <m:sSub>
          <m:sSubPr>
            <m:ctrlPr>
              <w:rPr>
                <w:rFonts w:ascii="Cambria Math" w:hAnsi="Cambria Math"/>
              </w:rPr>
            </m:ctrlPr>
          </m:sSubPr>
          <m:e>
            <m:r>
              <m:rPr/>
              <w:rPr>
                <w:rFonts w:ascii="Cambria Math" w:hAnsi="Cambria Math"/>
              </w:rPr>
              <m:t>C</m:t>
            </m:r>
            <m:ctrlPr>
              <w:rPr>
                <w:rFonts w:ascii="Cambria Math" w:hAnsi="Cambria Math"/>
              </w:rPr>
            </m:ctrlPr>
          </m:e>
          <m:sub>
            <m:r>
              <m:rPr/>
              <w:rPr>
                <w:rFonts w:ascii="Cambria Math" w:hAnsi="Cambria Math"/>
              </w:rPr>
              <m:t>i</m:t>
            </m:r>
            <m:ctrlPr>
              <w:rPr>
                <w:rFonts w:ascii="Cambria Math" w:hAnsi="Cambria Math"/>
              </w:rPr>
            </m:ctrlPr>
          </m:sub>
        </m:sSub>
        <m:r>
          <m:rPr/>
          <w:rPr>
            <w:rFonts w:ascii="Cambria Math" w:hAnsi="Cambria Math"/>
          </w:rPr>
          <m:t>=</m:t>
        </m:r>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m:rPr/>
                      <w:rPr>
                        <w:rFonts w:ascii="Cambria Math" w:hAnsi="Cambria Math"/>
                      </w:rPr>
                      <m:t>P</m:t>
                    </m:r>
                    <m:ctrlPr>
                      <w:rPr>
                        <w:rFonts w:ascii="Cambria Math" w:hAnsi="Cambria Math"/>
                        <w:i/>
                      </w:rPr>
                    </m:ctrlPr>
                  </m:e>
                  <m:sub>
                    <m:sSub>
                      <m:sSubPr>
                        <m:ctrlPr>
                          <w:rPr>
                            <w:rFonts w:ascii="Cambria Math" w:hAnsi="Cambria Math"/>
                          </w:rPr>
                        </m:ctrlPr>
                      </m:sSubPr>
                      <m:e>
                        <m:r>
                          <m:rPr>
                            <m:sty m:val="p"/>
                          </m:rPr>
                          <w:rPr>
                            <w:rFonts w:hint="eastAsia" w:ascii="Cambria Math" w:hAnsi="Cambria Math"/>
                          </w:rPr>
                          <m:t>I</m:t>
                        </m:r>
                        <m:ctrlPr>
                          <w:rPr>
                            <w:rFonts w:ascii="Cambria Math" w:hAnsi="Cambria Math"/>
                          </w:rPr>
                        </m:ctrlPr>
                      </m:e>
                      <m:sub>
                        <m:r>
                          <m:rPr>
                            <m:sty m:val="p"/>
                          </m:rPr>
                          <w:rPr>
                            <w:rFonts w:hint="eastAsia" w:ascii="Cambria Math" w:hAnsi="Cambria Math"/>
                          </w:rPr>
                          <m:t>c</m:t>
                        </m:r>
                        <m:r>
                          <m:rPr>
                            <m:sty m:val="p"/>
                          </m:rPr>
                          <w:rPr>
                            <w:rFonts w:ascii="Cambria Math" w:hAnsi="Cambria Math"/>
                          </w:rPr>
                          <m:t>ya,</m:t>
                        </m:r>
                        <m:ctrlPr>
                          <w:rPr>
                            <w:rFonts w:ascii="Cambria Math" w:hAnsi="Cambria Math"/>
                          </w:rPr>
                        </m:ctrlPr>
                      </m:sub>
                    </m:sSub>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sub>
                </m:sSub>
                <m:r>
                  <m:rPr/>
                  <w:rPr>
                    <w:rFonts w:ascii="Cambria Math" w:hAnsi="Cambria Math"/>
                  </w:rPr>
                  <m:t>+</m:t>
                </m:r>
                <m:sSub>
                  <m:sSubPr>
                    <m:ctrlPr>
                      <w:rPr>
                        <w:rFonts w:ascii="Cambria Math" w:hAnsi="Cambria Math"/>
                      </w:rPr>
                    </m:ctrlPr>
                  </m:sSubPr>
                  <m:e>
                    <m:r>
                      <m:rPr/>
                      <w:rPr>
                        <w:rFonts w:ascii="Cambria Math" w:hAnsi="Cambria Math"/>
                      </w:rPr>
                      <m:t>r</m:t>
                    </m:r>
                    <m:ctrlPr>
                      <w:rPr>
                        <w:rFonts w:ascii="Cambria Math" w:hAnsi="Cambria Math"/>
                      </w:rPr>
                    </m:ctrlPr>
                  </m:e>
                  <m:sub>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j</m:t>
                        </m:r>
                        <m:ctrlPr>
                          <w:rPr>
                            <w:rFonts w:ascii="Cambria Math" w:hAnsi="Cambria Math"/>
                            <w:i/>
                          </w:rPr>
                        </m:ctrlPr>
                      </m:sub>
                    </m:sSub>
                    <m:ctrlPr>
                      <w:rPr>
                        <w:rFonts w:ascii="Cambria Math" w:hAnsi="Cambria Math"/>
                      </w:rPr>
                    </m:ctrlPr>
                  </m:sub>
                </m:sSub>
                <m:sSub>
                  <m:sSubPr>
                    <m:ctrlPr>
                      <w:rPr>
                        <w:rFonts w:ascii="Cambria Math" w:hAnsi="Cambria Math"/>
                      </w:rPr>
                    </m:ctrlPr>
                  </m:sSubPr>
                  <m:e>
                    <m:r>
                      <m:rPr/>
                      <w:rPr>
                        <w:rFonts w:ascii="Cambria Math" w:hAnsi="Cambria Math"/>
                      </w:rPr>
                      <m:t>P</m:t>
                    </m:r>
                    <m:ctrlPr>
                      <w:rPr>
                        <w:rFonts w:ascii="Cambria Math" w:hAnsi="Cambria Math"/>
                      </w:rPr>
                    </m:ctrlPr>
                  </m:e>
                  <m:sub>
                    <m:sSub>
                      <m:sSubPr>
                        <m:ctrlPr>
                          <w:rPr>
                            <w:rFonts w:ascii="Cambria Math" w:hAnsi="Cambria Math"/>
                          </w:rPr>
                        </m:ctrlPr>
                      </m:sSubPr>
                      <m:e>
                        <m:r>
                          <m:rPr>
                            <m:sty m:val="p"/>
                          </m:rPr>
                          <w:rPr>
                            <w:rFonts w:ascii="Cambria Math" w:hAnsi="Cambria Math"/>
                          </w:rPr>
                          <m:t>I</m:t>
                        </m:r>
                        <m:ctrlPr>
                          <w:rPr>
                            <w:rFonts w:ascii="Cambria Math" w:hAnsi="Cambria Math"/>
                          </w:rPr>
                        </m:ctrlPr>
                      </m:e>
                      <m:sub>
                        <m:r>
                          <m:rPr>
                            <m:sty m:val="p"/>
                          </m:rPr>
                          <w:rPr>
                            <w:rFonts w:hint="eastAsia" w:ascii="Cambria Math" w:hAnsi="Cambria Math"/>
                          </w:rPr>
                          <m:t>c</m:t>
                        </m:r>
                        <m:r>
                          <m:rPr>
                            <m:sty m:val="p"/>
                          </m:rPr>
                          <w:rPr>
                            <w:rFonts w:ascii="Cambria Math" w:hAnsi="Cambria Math"/>
                          </w:rPr>
                          <m:t>ya,</m:t>
                        </m:r>
                        <m:ctrlPr>
                          <w:rPr>
                            <w:rFonts w:ascii="Cambria Math" w:hAnsi="Cambria Math"/>
                          </w:rPr>
                        </m:ctrlPr>
                      </m:sub>
                    </m:sSub>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rPr>
                    </m:ctrlPr>
                  </m:sub>
                </m:sSub>
                <m:ctrlPr>
                  <w:rPr>
                    <w:rFonts w:ascii="Cambria Math" w:hAnsi="Cambria Math"/>
                    <w:i/>
                  </w:rPr>
                </m:ctrlPr>
              </m:e>
            </m:d>
            <m:ctrlPr>
              <w:rPr>
                <w:rFonts w:ascii="Cambria Math" w:hAnsi="Cambria Math"/>
                <w:i/>
              </w:rPr>
            </m:ctrlPr>
          </m:num>
          <m:den>
            <m:nary>
              <m:naryPr>
                <m:chr m:val="∑"/>
                <m:limLoc m:val="undOvr"/>
                <m:ctrlPr>
                  <w:rPr>
                    <w:rFonts w:ascii="Cambria Math" w:hAnsi="Cambria Math"/>
                    <w:i/>
                  </w:rPr>
                </m:ctrlPr>
              </m:naryPr>
              <m:sub>
                <m:r>
                  <m:rPr/>
                  <w:rPr>
                    <w:rFonts w:ascii="Cambria Math" w:hAnsi="Cambria Math"/>
                  </w:rPr>
                  <m:t>i,j=1</m:t>
                </m:r>
                <m:ctrlPr>
                  <w:rPr>
                    <w:rFonts w:ascii="Cambria Math" w:hAnsi="Cambria Math"/>
                    <w:i/>
                  </w:rPr>
                </m:ctrlPr>
              </m:sub>
              <m:sup>
                <m:r>
                  <m:rPr/>
                  <w:rPr>
                    <w:rFonts w:ascii="Cambria Math" w:hAnsi="Cambria Math"/>
                  </w:rPr>
                  <m:t>n</m:t>
                </m:r>
                <m:ctrlPr>
                  <w:rPr>
                    <w:rFonts w:ascii="Cambria Math" w:hAnsi="Cambria Math"/>
                    <w:i/>
                  </w:rPr>
                </m:ctrlPr>
              </m:sup>
              <m:e>
                <m:d>
                  <m:dPr>
                    <m:begChr m:val="|"/>
                    <m:endChr m:val="|"/>
                    <m:ctrlPr>
                      <w:rPr>
                        <w:rFonts w:ascii="Cambria Math" w:hAnsi="Cambria Math"/>
                        <w:i/>
                      </w:rPr>
                    </m:ctrlPr>
                  </m:dPr>
                  <m:e>
                    <m:sSub>
                      <m:sSubPr>
                        <m:ctrlPr>
                          <w:rPr>
                            <w:rFonts w:ascii="Cambria Math" w:hAnsi="Cambria Math"/>
                            <w:i/>
                          </w:rPr>
                        </m:ctrlPr>
                      </m:sSubPr>
                      <m:e>
                        <m:r>
                          <m:rPr/>
                          <w:rPr>
                            <w:rFonts w:ascii="Cambria Math" w:hAnsi="Cambria Math"/>
                          </w:rPr>
                          <m:t>P</m:t>
                        </m:r>
                        <m:ctrlPr>
                          <w:rPr>
                            <w:rFonts w:ascii="Cambria Math" w:hAnsi="Cambria Math"/>
                            <w:i/>
                          </w:rPr>
                        </m:ctrlPr>
                      </m:e>
                      <m:sub>
                        <m:sSub>
                          <m:sSubPr>
                            <m:ctrlPr>
                              <w:rPr>
                                <w:rFonts w:ascii="Cambria Math" w:hAnsi="Cambria Math"/>
                              </w:rPr>
                            </m:ctrlPr>
                          </m:sSubPr>
                          <m:e>
                            <m:r>
                              <m:rPr>
                                <m:sty m:val="p"/>
                              </m:rPr>
                              <w:rPr>
                                <w:rFonts w:ascii="Cambria Math" w:hAnsi="Cambria Math"/>
                              </w:rPr>
                              <m:t>I</m:t>
                            </m:r>
                            <m:ctrlPr>
                              <w:rPr>
                                <w:rFonts w:ascii="Cambria Math" w:hAnsi="Cambria Math"/>
                              </w:rPr>
                            </m:ctrlPr>
                          </m:e>
                          <m:sub>
                            <m:r>
                              <m:rPr>
                                <m:sty m:val="p"/>
                              </m:rPr>
                              <w:rPr>
                                <w:rFonts w:ascii="Cambria Math" w:hAnsi="Cambria Math"/>
                              </w:rPr>
                              <m:t>cya</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r</m:t>
                        </m:r>
                        <m:ctrlPr>
                          <w:rPr>
                            <w:rFonts w:ascii="Cambria Math" w:hAnsi="Cambria Math"/>
                            <w:i/>
                          </w:rPr>
                        </m:ctrlPr>
                      </m:e>
                      <m:sub>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j</m:t>
                            </m:r>
                            <m:ctrlPr>
                              <w:rPr>
                                <w:rFonts w:ascii="Cambria Math" w:hAnsi="Cambria Math"/>
                                <w:i/>
                              </w:rPr>
                            </m:ctrlPr>
                          </m:sub>
                        </m:sSub>
                        <m:ctrlPr>
                          <w:rPr>
                            <w:rFonts w:ascii="Cambria Math" w:hAnsi="Cambria Math"/>
                            <w:i/>
                          </w:rPr>
                        </m:ctrlPr>
                      </m:sub>
                    </m:sSub>
                    <m:sSub>
                      <m:sSubPr>
                        <m:ctrlPr>
                          <w:rPr>
                            <w:rFonts w:ascii="Cambria Math" w:hAnsi="Cambria Math"/>
                            <w:i/>
                          </w:rPr>
                        </m:ctrlPr>
                      </m:sSubPr>
                      <m:e>
                        <m:r>
                          <m:rPr/>
                          <w:rPr>
                            <w:rFonts w:ascii="Cambria Math" w:hAnsi="Cambria Math"/>
                          </w:rPr>
                          <m:t>P</m:t>
                        </m:r>
                        <m:ctrlPr>
                          <w:rPr>
                            <w:rFonts w:ascii="Cambria Math" w:hAnsi="Cambria Math"/>
                            <w:i/>
                          </w:rPr>
                        </m:ctrlPr>
                      </m:e>
                      <m:sub>
                        <m:sSub>
                          <m:sSubPr>
                            <m:ctrlPr>
                              <w:rPr>
                                <w:rFonts w:ascii="Cambria Math" w:hAnsi="Cambria Math"/>
                              </w:rPr>
                            </m:ctrlPr>
                          </m:sSubPr>
                          <m:e>
                            <m:r>
                              <m:rPr>
                                <m:sty m:val="p"/>
                              </m:rPr>
                              <w:rPr>
                                <w:rFonts w:ascii="Cambria Math" w:hAnsi="Cambria Math"/>
                              </w:rPr>
                              <m:t>I</m:t>
                            </m:r>
                            <m:ctrlPr>
                              <w:rPr>
                                <w:rFonts w:ascii="Cambria Math" w:hAnsi="Cambria Math"/>
                              </w:rPr>
                            </m:ctrlPr>
                          </m:e>
                          <m:sub>
                            <m:r>
                              <m:rPr>
                                <m:sty m:val="p"/>
                              </m:rPr>
                              <w:rPr>
                                <w:rFonts w:ascii="Cambria Math" w:hAnsi="Cambria Math"/>
                              </w:rPr>
                              <m:t>cya</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sub>
                    </m:sSub>
                    <m:ctrlPr>
                      <w:rPr>
                        <w:rFonts w:ascii="Cambria Math" w:hAnsi="Cambria Math"/>
                        <w:i/>
                      </w:rPr>
                    </m:ctrlPr>
                  </m:e>
                </m:d>
                <m:ctrlPr>
                  <w:rPr>
                    <w:rFonts w:ascii="Cambria Math" w:hAnsi="Cambria Math"/>
                    <w:i/>
                  </w:rPr>
                </m:ctrlPr>
              </m:e>
            </m:nary>
            <m:ctrlPr>
              <w:rPr>
                <w:rFonts w:ascii="Cambria Math" w:hAnsi="Cambria Math"/>
                <w:i/>
              </w:rPr>
            </m:ctrlPr>
          </m:den>
        </m:f>
        <m:r>
          <m:rPr>
            <m:sty m:val="p"/>
          </m:rPr>
          <w:rPr>
            <w:rFonts w:hint="eastAsia" w:ascii="Cambria Math" w:hAnsi="Cambria Math"/>
          </w:rPr>
          <m:t>，</m:t>
        </m:r>
        <m:r>
          <m:rPr>
            <m:sty m:val="p"/>
          </m:rPr>
          <w:rPr>
            <w:rFonts w:ascii="Cambria Math" w:hAnsi="Cambria Math"/>
          </w:rPr>
          <m:t xml:space="preserve"> </m:t>
        </m:r>
        <m:r>
          <m:rPr>
            <m:sty m:val="p"/>
          </m:rPr>
          <w:rPr>
            <w:rFonts w:hint="eastAsia" w:ascii="Cambria Math" w:hAnsi="Cambria Math"/>
          </w:rPr>
          <m:t>（</m:t>
        </m:r>
        <m:r>
          <m:rPr/>
          <w:rPr>
            <w:rFonts w:ascii="Cambria Math" w:hAnsi="Cambria Math"/>
          </w:rPr>
          <m:t>n</m:t>
        </m:r>
      </m:oMath>
      <w:r>
        <w:rPr>
          <w:rFonts w:hint="eastAsia"/>
        </w:rPr>
        <w:t>=6）</w:t>
      </w:r>
      <w:r>
        <w:rPr>
          <w:rFonts w:ascii="微软雅黑" w:hAnsi="微软雅黑" w:eastAsia="微软雅黑"/>
        </w:rPr>
        <w:tab/>
      </w:r>
      <w:r>
        <w:t>(</w:t>
      </w:r>
      <w:r>
        <w:fldChar w:fldCharType="begin"/>
      </w:r>
      <w:r>
        <w:instrText xml:space="preserve"> AUTONUM </w:instrText>
      </w:r>
      <w:r>
        <w:fldChar w:fldCharType="end"/>
      </w:r>
      <w:r>
        <w:t>)</w:t>
      </w:r>
    </w:p>
    <w:p w14:paraId="49EA508F">
      <w:pPr>
        <w:snapToGrid w:val="0"/>
        <w:spacing w:line="240" w:lineRule="auto"/>
        <w:ind w:firstLine="420" w:firstLineChars="200"/>
      </w:pPr>
      <w:r>
        <w:rPr>
          <w:rFonts w:hint="eastAsia"/>
        </w:rPr>
        <w:t>式中：</w:t>
      </w:r>
    </w:p>
    <w:p w14:paraId="263E5F93">
      <w:pPr>
        <w:snapToGrid w:val="0"/>
        <w:spacing w:line="240" w:lineRule="auto"/>
        <w:ind w:firstLine="840" w:firstLineChars="400"/>
      </w:pPr>
      <m:oMath>
        <m:sSub>
          <m:sSubPr>
            <m:ctrlPr>
              <w:rPr>
                <w:rFonts w:ascii="Cambria Math" w:hAnsi="Cambria Math"/>
              </w:rPr>
            </m:ctrlPr>
          </m:sSubPr>
          <m:e>
            <m:r>
              <m:rPr/>
              <w:rPr>
                <w:rFonts w:ascii="Cambria Math" w:hAnsi="Cambria Math"/>
              </w:rPr>
              <m:t>r</m:t>
            </m:r>
            <m:ctrlPr>
              <w:rPr>
                <w:rFonts w:ascii="Cambria Math" w:hAnsi="Cambria Math"/>
              </w:rPr>
            </m:ctrlPr>
          </m:e>
          <m:sub>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j</m:t>
                </m:r>
                <m:ctrlPr>
                  <w:rPr>
                    <w:rFonts w:ascii="Cambria Math" w:hAnsi="Cambria Math"/>
                    <w:i/>
                  </w:rPr>
                </m:ctrlPr>
              </m:sub>
            </m:sSub>
            <m:ctrlPr>
              <w:rPr>
                <w:rFonts w:ascii="Cambria Math" w:hAnsi="Cambria Math"/>
              </w:rPr>
            </m:ctrlPr>
          </m:sub>
        </m:sSub>
      </m:oMath>
      <w:r>
        <w:rPr>
          <w:rFonts w:hint="eastAsia"/>
        </w:rPr>
        <w:t>——筛选的6类</w:t>
      </w:r>
      <w:r>
        <w:t>气象因子</w:t>
      </w:r>
      <m:oMath>
        <m:r>
          <m:rPr/>
          <w:rPr>
            <w:rFonts w:ascii="Cambria Math" w:hAnsi="Cambria Math"/>
          </w:rPr>
          <m:t>x</m:t>
        </m:r>
      </m:oMath>
      <w:r>
        <w:t>之间的相关</w:t>
      </w:r>
      <w:r>
        <w:rPr>
          <w:rFonts w:hint="eastAsia"/>
        </w:rPr>
        <w:t>系数；</w:t>
      </w:r>
    </w:p>
    <w:p w14:paraId="31D20733">
      <w:pPr>
        <w:snapToGrid w:val="0"/>
        <w:spacing w:line="240" w:lineRule="auto"/>
        <w:ind w:firstLine="840" w:firstLineChars="400"/>
      </w:pPr>
      <m:oMath>
        <m:sSub>
          <m:sSubPr>
            <m:ctrlPr>
              <w:rPr>
                <w:rFonts w:ascii="Cambria Math" w:hAnsi="Cambria Math"/>
                <w:i/>
              </w:rPr>
            </m:ctrlPr>
          </m:sSubPr>
          <m:e>
            <m:r>
              <m:rPr/>
              <w:rPr>
                <w:rFonts w:ascii="Cambria Math" w:hAnsi="Cambria Math"/>
              </w:rPr>
              <m:t>P</m:t>
            </m:r>
            <m:ctrlPr>
              <w:rPr>
                <w:rFonts w:ascii="Cambria Math" w:hAnsi="Cambria Math"/>
                <w:i/>
              </w:rPr>
            </m:ctrlPr>
          </m:e>
          <m:sub>
            <m:sSub>
              <m:sSubPr>
                <m:ctrlPr>
                  <w:rPr>
                    <w:rFonts w:ascii="Cambria Math" w:hAnsi="Cambria Math"/>
                  </w:rPr>
                </m:ctrlPr>
              </m:sSubPr>
              <m:e>
                <m:r>
                  <m:rPr>
                    <m:sty m:val="p"/>
                  </m:rPr>
                  <w:rPr>
                    <w:rFonts w:ascii="Cambria Math" w:hAnsi="Cambria Math"/>
                  </w:rPr>
                  <m:t>I</m:t>
                </m:r>
                <m:ctrlPr>
                  <w:rPr>
                    <w:rFonts w:ascii="Cambria Math" w:hAnsi="Cambria Math"/>
                  </w:rPr>
                </m:ctrlPr>
              </m:e>
              <m:sub>
                <m:r>
                  <m:rPr>
                    <m:sty m:val="p"/>
                  </m:rPr>
                  <w:rPr>
                    <w:rFonts w:hint="eastAsia" w:ascii="Cambria Math" w:hAnsi="Cambria Math"/>
                  </w:rPr>
                  <m:t>cya</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sub>
        </m:sSub>
      </m:oMath>
      <w:r>
        <w:rPr>
          <w:rFonts w:hint="eastAsia"/>
        </w:rPr>
        <w:t>——某</w:t>
      </w:r>
      <m:oMath>
        <m:r>
          <m:rPr/>
          <w:rPr>
            <w:rFonts w:hint="eastAsia" w:ascii="Cambria Math" w:hAnsi="Cambria Math"/>
          </w:rPr>
          <m:t>i</m:t>
        </m:r>
      </m:oMath>
      <w:r>
        <w:t>类气象因子</w:t>
      </w:r>
      <m:oMath>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i</m:t>
            </m:r>
            <m:ctrlPr>
              <w:rPr>
                <w:rFonts w:ascii="Cambria Math" w:hAnsi="Cambria Math"/>
              </w:rPr>
            </m:ctrlPr>
          </m:sub>
        </m:sSub>
      </m:oMath>
      <w:r>
        <w:t>的直接通径系数</w:t>
      </w:r>
      <w:r>
        <w:rPr>
          <w:rFonts w:hint="eastAsia"/>
        </w:rPr>
        <w:t>；</w:t>
      </w:r>
    </w:p>
    <w:p w14:paraId="5E7FF80D">
      <w:pPr>
        <w:snapToGrid w:val="0"/>
        <w:spacing w:line="240" w:lineRule="auto"/>
        <w:ind w:firstLine="840" w:firstLineChars="400"/>
        <w:rPr>
          <w:color w:val="FF0000"/>
        </w:rPr>
      </w:pPr>
      <m:oMath>
        <m:sSub>
          <m:sSubPr>
            <m:ctrlPr>
              <w:rPr>
                <w:rFonts w:ascii="Cambria Math" w:hAnsi="Cambria Math"/>
              </w:rPr>
            </m:ctrlPr>
          </m:sSubPr>
          <m:e>
            <m:r>
              <m:rPr/>
              <w:rPr>
                <w:rFonts w:ascii="Cambria Math" w:hAnsi="Cambria Math"/>
              </w:rPr>
              <m:t>r</m:t>
            </m:r>
            <m:ctrlPr>
              <w:rPr>
                <w:rFonts w:ascii="Cambria Math" w:hAnsi="Cambria Math"/>
              </w:rPr>
            </m:ctrlPr>
          </m:e>
          <m:sub>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j</m:t>
                </m:r>
                <m:ctrlPr>
                  <w:rPr>
                    <w:rFonts w:ascii="Cambria Math" w:hAnsi="Cambria Math"/>
                  </w:rPr>
                </m:ctrlPr>
              </m:sub>
            </m:sSub>
            <m:ctrlPr>
              <w:rPr>
                <w:rFonts w:ascii="Cambria Math" w:hAnsi="Cambria Math"/>
              </w:rPr>
            </m:ctrlPr>
          </m:sub>
        </m:sSub>
        <m:sSub>
          <m:sSubPr>
            <m:ctrlPr>
              <w:rPr>
                <w:rFonts w:ascii="Cambria Math" w:hAnsi="Cambria Math"/>
              </w:rPr>
            </m:ctrlPr>
          </m:sSubPr>
          <m:e>
            <m:r>
              <m:rPr/>
              <w:rPr>
                <w:rFonts w:ascii="Cambria Math" w:hAnsi="Cambria Math"/>
              </w:rPr>
              <m:t>P</m:t>
            </m:r>
            <m:ctrlPr>
              <w:rPr>
                <w:rFonts w:ascii="Cambria Math" w:hAnsi="Cambria Math"/>
              </w:rPr>
            </m:ctrlPr>
          </m:e>
          <m:sub>
            <m:sSub>
              <m:sSubPr>
                <m:ctrlPr>
                  <w:rPr>
                    <w:rFonts w:ascii="Cambria Math" w:hAnsi="Cambria Math"/>
                  </w:rPr>
                </m:ctrlPr>
              </m:sSubPr>
              <m:e>
                <m:r>
                  <m:rPr>
                    <m:sty m:val="p"/>
                  </m:rPr>
                  <w:rPr>
                    <w:rFonts w:ascii="Cambria Math" w:hAnsi="Cambria Math"/>
                  </w:rPr>
                  <m:t>I</m:t>
                </m:r>
                <m:ctrlPr>
                  <w:rPr>
                    <w:rFonts w:ascii="Cambria Math" w:hAnsi="Cambria Math"/>
                  </w:rPr>
                </m:ctrlPr>
              </m:e>
              <m:sub>
                <m:r>
                  <m:rPr>
                    <m:sty m:val="p"/>
                  </m:rPr>
                  <w:rPr>
                    <w:rFonts w:hint="eastAsia" w:ascii="Cambria Math" w:hAnsi="Cambria Math"/>
                  </w:rPr>
                  <m:t>cya</m:t>
                </m:r>
                <m:r>
                  <m:rPr>
                    <m:sty m:val="p"/>
                  </m:rPr>
                  <w:rPr>
                    <w:rFonts w:ascii="Cambria Math" w:hAnsi="Cambria Math"/>
                  </w:rPr>
                  <m:t>,</m:t>
                </m:r>
                <m:ctrlPr>
                  <w:rPr>
                    <w:rFonts w:ascii="Cambria Math" w:hAnsi="Cambria Math"/>
                  </w:rPr>
                </m:ctrlPr>
              </m:sub>
            </m:sSub>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sub>
        </m:sSub>
      </m:oMath>
      <w:r>
        <w:rPr>
          <w:rFonts w:hint="eastAsia" w:ascii="Cambria Math" w:hAnsi="Cambria Math"/>
        </w:rPr>
        <w:t>——某</w:t>
      </w:r>
      <m:oMath>
        <m:r>
          <m:rPr/>
          <w:rPr>
            <w:rFonts w:hint="eastAsia" w:ascii="Cambria Math" w:hAnsi="Cambria Math"/>
          </w:rPr>
          <m:t>i</m:t>
        </m:r>
      </m:oMath>
      <w:r>
        <w:rPr>
          <w:rFonts w:ascii="Cambria Math" w:hAnsi="Cambria Math"/>
        </w:rPr>
        <w:t>类气象因子</w:t>
      </w:r>
      <m:oMath>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i</m:t>
            </m:r>
            <m:ctrlPr>
              <w:rPr>
                <w:rFonts w:ascii="Cambria Math" w:hAnsi="Cambria Math"/>
              </w:rPr>
            </m:ctrlPr>
          </m:sub>
        </m:sSub>
      </m:oMath>
      <w:r>
        <w:rPr>
          <w:rFonts w:ascii="Cambria Math" w:hAnsi="Cambria Math"/>
        </w:rPr>
        <w:t>的</w:t>
      </w:r>
      <w:r>
        <w:rPr>
          <w:rFonts w:hint="eastAsia" w:ascii="Cambria Math" w:hAnsi="Cambria Math"/>
        </w:rPr>
        <w:t>间接</w:t>
      </w:r>
      <w:r>
        <w:rPr>
          <w:rFonts w:ascii="Cambria Math" w:hAnsi="Cambria Math"/>
        </w:rPr>
        <w:t>通径系数</w:t>
      </w:r>
      <w:r>
        <w:rPr>
          <w:rFonts w:hint="eastAsia" w:ascii="Cambria Math" w:hAnsi="Cambria Math"/>
        </w:rPr>
        <w:t>。</w:t>
      </w:r>
    </w:p>
    <w:p w14:paraId="20119484">
      <w:pPr>
        <w:pStyle w:val="113"/>
      </w:pPr>
      <w:r>
        <w:tab/>
      </w:r>
      <m:oMath>
        <m:sSub>
          <m:sSubPr>
            <m:ctrlPr>
              <w:rPr>
                <w:rFonts w:ascii="Cambria Math" w:hAnsi="Cambria Math"/>
              </w:rPr>
            </m:ctrlPr>
          </m:sSubPr>
          <m:e>
            <m:r>
              <m:rPr/>
              <w:rPr>
                <w:rFonts w:ascii="Cambria Math" w:hAnsi="Cambria Math"/>
              </w:rPr>
              <m:t>P</m:t>
            </m:r>
            <m:ctrlPr>
              <w:rPr>
                <w:rFonts w:ascii="Cambria Math" w:hAnsi="Cambria Math"/>
              </w:rPr>
            </m:ctrlPr>
          </m:e>
          <m:sub>
            <m:sSub>
              <m:sSubPr>
                <m:ctrlPr>
                  <w:rPr>
                    <w:rFonts w:ascii="Cambria Math" w:hAnsi="Cambria Math"/>
                  </w:rPr>
                </m:ctrlPr>
              </m:sSubPr>
              <m:e>
                <m:r>
                  <m:rPr>
                    <m:sty m:val="p"/>
                  </m:rPr>
                  <w:rPr>
                    <w:rFonts w:ascii="Cambria Math" w:hAnsi="Cambria Math"/>
                  </w:rPr>
                  <m:t>I</m:t>
                </m:r>
                <m:ctrlPr>
                  <w:rPr>
                    <w:rFonts w:ascii="Cambria Math" w:hAnsi="Cambria Math"/>
                  </w:rPr>
                </m:ctrlPr>
              </m:e>
              <m:sub>
                <m:r>
                  <m:rPr>
                    <m:sty m:val="p"/>
                  </m:rPr>
                  <w:rPr>
                    <w:rFonts w:ascii="Cambria Math" w:hAnsi="Cambria Math"/>
                  </w:rPr>
                  <m:t>cya</m:t>
                </m:r>
                <m:ctrlPr>
                  <w:rPr>
                    <w:rFonts w:ascii="Cambria Math" w:hAnsi="Cambria Math"/>
                  </w:rPr>
                </m:ctrlPr>
              </m:sub>
            </m:sSub>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i</m:t>
            </m:r>
            <m:ctrlPr>
              <w:rPr>
                <w:rFonts w:ascii="Cambria Math" w:hAnsi="Cambria Math"/>
                <w:i/>
              </w:rPr>
            </m:ctrlPr>
          </m:sub>
        </m:sSub>
        <m:r>
          <m:rPr/>
          <w:rPr>
            <w:rFonts w:hint="eastAsia"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σ</m:t>
                </m:r>
                <m:ctrlPr>
                  <w:rPr>
                    <w:rFonts w:ascii="Cambria Math" w:hAnsi="Cambria Math"/>
                    <w:i/>
                  </w:rPr>
                </m:ctrlPr>
              </m:e>
              <m:sub>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σ</m:t>
                </m:r>
                <m:ctrlPr>
                  <w:rPr>
                    <w:rFonts w:ascii="Cambria Math" w:hAnsi="Cambria Math"/>
                    <w:i/>
                  </w:rPr>
                </m:ctrlPr>
              </m:e>
              <m:sub>
                <m:sSub>
                  <m:sSubPr>
                    <m:ctrlPr>
                      <w:rPr>
                        <w:rFonts w:ascii="Cambria Math" w:hAnsi="Cambria Math"/>
                      </w:rPr>
                    </m:ctrlPr>
                  </m:sSubPr>
                  <m:e>
                    <m:r>
                      <m:rPr>
                        <m:sty m:val="p"/>
                      </m:rPr>
                      <w:rPr>
                        <w:rFonts w:ascii="Cambria Math" w:hAnsi="Cambria Math"/>
                      </w:rPr>
                      <m:t>I</m:t>
                    </m:r>
                    <m:ctrlPr>
                      <w:rPr>
                        <w:rFonts w:ascii="Cambria Math" w:hAnsi="Cambria Math"/>
                      </w:rPr>
                    </m:ctrlPr>
                  </m:e>
                  <m:sub>
                    <m:r>
                      <m:rPr>
                        <m:sty m:val="p"/>
                      </m:rPr>
                      <w:rPr>
                        <w:rFonts w:ascii="Cambria Math" w:hAnsi="Cambria Math"/>
                      </w:rPr>
                      <m:t>cya</m:t>
                    </m:r>
                    <m:ctrlPr>
                      <w:rPr>
                        <w:rFonts w:ascii="Cambria Math" w:hAnsi="Cambria Math"/>
                      </w:rPr>
                    </m:ctrlPr>
                  </m:sub>
                </m:sSub>
                <m:ctrlPr>
                  <w:rPr>
                    <w:rFonts w:ascii="Cambria Math" w:hAnsi="Cambria Math"/>
                    <w:i/>
                  </w:rPr>
                </m:ctrlPr>
              </m:sub>
            </m:sSub>
            <m:ctrlPr>
              <w:rPr>
                <w:rFonts w:ascii="Cambria Math" w:hAnsi="Cambria Math"/>
                <w:i/>
              </w:rPr>
            </m:ctrlPr>
          </m:den>
        </m:f>
      </m:oMath>
      <w:r>
        <w:rPr>
          <w:rFonts w:ascii="微软雅黑" w:hAnsi="微软雅黑" w:eastAsia="微软雅黑"/>
        </w:rPr>
        <w:tab/>
      </w:r>
      <w:r>
        <w:t>(</w:t>
      </w:r>
      <w:r>
        <w:fldChar w:fldCharType="begin"/>
      </w:r>
      <w:r>
        <w:instrText xml:space="preserve"> AUTONUM </w:instrText>
      </w:r>
      <w:r>
        <w:fldChar w:fldCharType="end"/>
      </w:r>
      <w:r>
        <w:t>)</w:t>
      </w:r>
    </w:p>
    <w:p w14:paraId="21C856E6">
      <w:pPr>
        <w:snapToGrid w:val="0"/>
        <w:spacing w:line="240" w:lineRule="auto"/>
        <w:ind w:firstLine="420" w:firstLineChars="200"/>
      </w:pPr>
      <w:r>
        <w:rPr>
          <w:rFonts w:hint="eastAsia"/>
        </w:rPr>
        <w:t>式中：</w:t>
      </w:r>
    </w:p>
    <w:p w14:paraId="25240232">
      <w:pPr>
        <w:snapToGrid w:val="0"/>
        <w:spacing w:line="240" w:lineRule="auto"/>
        <w:ind w:firstLine="840" w:firstLineChars="400"/>
      </w:pPr>
      <m:oMath>
        <m:sSub>
          <m:sSubPr>
            <m:ctrlPr>
              <w:rPr>
                <w:rFonts w:ascii="Cambria Math" w:hAnsi="Cambria Math"/>
              </w:rPr>
            </m:ctrlPr>
          </m:sSubPr>
          <m:e>
            <m:r>
              <m:rPr/>
              <w:rPr>
                <w:rFonts w:ascii="Cambria Math" w:hAnsi="Cambria Math"/>
              </w:rPr>
              <m:t>a</m:t>
            </m:r>
            <m:ctrlPr>
              <w:rPr>
                <w:rFonts w:ascii="Cambria Math" w:hAnsi="Cambria Math"/>
              </w:rPr>
            </m:ctrlPr>
          </m:e>
          <m:sub>
            <m:r>
              <m:rPr/>
              <w:rPr>
                <w:rFonts w:ascii="Cambria Math" w:hAnsi="Cambria Math"/>
              </w:rPr>
              <m:t>i</m:t>
            </m:r>
            <m:ctrlPr>
              <w:rPr>
                <w:rFonts w:ascii="Cambria Math" w:hAnsi="Cambria Math"/>
              </w:rPr>
            </m:ctrlPr>
          </m:sub>
        </m:sSub>
      </m:oMath>
      <w:r>
        <w:rPr>
          <w:rFonts w:hint="eastAsia"/>
        </w:rPr>
        <w:t>——</w:t>
      </w:r>
      <w:r>
        <w:t>蓝藻水华强度指数</w:t>
      </w:r>
      <m:oMath>
        <m:sSub>
          <m:sSubPr>
            <m:ctrlPr>
              <w:rPr>
                <w:rFonts w:ascii="Cambria Math" w:hAnsi="Cambria Math"/>
                <w:i/>
              </w:rPr>
            </m:ctrlPr>
          </m:sSubPr>
          <m:e>
            <m:r>
              <m:rPr/>
              <w:rPr>
                <w:rFonts w:ascii="Cambria Math" w:hAnsi="Cambria Math"/>
              </w:rPr>
              <m:t>I</m:t>
            </m:r>
            <m:ctrlPr>
              <w:rPr>
                <w:rFonts w:ascii="Cambria Math" w:hAnsi="Cambria Math"/>
                <w:i/>
              </w:rPr>
            </m:ctrlPr>
          </m:e>
          <m:sub>
            <m:r>
              <m:rPr>
                <m:sty m:val="p"/>
              </m:rPr>
              <w:rPr>
                <w:rFonts w:ascii="Cambria Math" w:hAnsi="Cambria Math"/>
              </w:rPr>
              <m:t>cya</m:t>
            </m:r>
            <m:ctrlPr>
              <w:rPr>
                <w:rFonts w:ascii="Cambria Math" w:hAnsi="Cambria Math"/>
                <w:i/>
              </w:rPr>
            </m:ctrlPr>
          </m:sub>
        </m:sSub>
      </m:oMath>
      <w:r>
        <w:t>对某</w:t>
      </w:r>
      <m:oMath>
        <m:r>
          <m:rPr/>
          <w:rPr>
            <w:rFonts w:hint="eastAsia" w:ascii="Cambria Math" w:hAnsi="Cambria Math"/>
          </w:rPr>
          <m:t>i</m:t>
        </m:r>
      </m:oMath>
      <w:r>
        <w:t>类气象因子</w:t>
      </w:r>
      <m:oMath>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i</m:t>
            </m:r>
            <m:ctrlPr>
              <w:rPr>
                <w:rFonts w:ascii="Cambria Math" w:hAnsi="Cambria Math"/>
              </w:rPr>
            </m:ctrlPr>
          </m:sub>
        </m:sSub>
      </m:oMath>
      <w:r>
        <w:t>的偏回归系数；</w:t>
      </w:r>
    </w:p>
    <w:p w14:paraId="2BE70F76">
      <w:pPr>
        <w:snapToGrid w:val="0"/>
        <w:spacing w:line="240" w:lineRule="auto"/>
        <w:ind w:firstLine="840" w:firstLineChars="400"/>
      </w:pPr>
      <m:oMath>
        <m:sSub>
          <m:sSubPr>
            <m:ctrlPr>
              <w:rPr>
                <w:rFonts w:ascii="Cambria Math" w:hAnsi="Cambria Math"/>
                <w:i/>
              </w:rPr>
            </m:ctrlPr>
          </m:sSubPr>
          <m:e>
            <m:r>
              <m:rPr/>
              <w:rPr>
                <w:rFonts w:ascii="Cambria Math" w:hAnsi="Cambria Math"/>
              </w:rPr>
              <m:t>σ</m:t>
            </m:r>
            <m:ctrlPr>
              <w:rPr>
                <w:rFonts w:ascii="Cambria Math" w:hAnsi="Cambria Math"/>
                <w:i/>
              </w:rPr>
            </m:ctrlPr>
          </m:e>
          <m:sub>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sub>
        </m:sSub>
      </m:oMath>
      <w:r>
        <w:rPr>
          <w:rFonts w:hint="eastAsia"/>
        </w:rPr>
        <w:t>——</w:t>
      </w:r>
      <m:oMath>
        <m:r>
          <m:rPr/>
          <w:rPr>
            <w:rFonts w:hint="eastAsia" w:ascii="Cambria Math" w:hAnsi="Cambria Math"/>
          </w:rPr>
          <m:t>i</m:t>
        </m:r>
      </m:oMath>
      <w:r>
        <w:t>类气象因子</w:t>
      </w:r>
      <m:oMath>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i</m:t>
            </m:r>
            <m:ctrlPr>
              <w:rPr>
                <w:rFonts w:ascii="Cambria Math" w:hAnsi="Cambria Math"/>
              </w:rPr>
            </m:ctrlPr>
          </m:sub>
        </m:sSub>
      </m:oMath>
      <w:r>
        <w:t>的标准差；</w:t>
      </w:r>
    </w:p>
    <w:p w14:paraId="71E4BE2F">
      <w:pPr>
        <w:snapToGrid w:val="0"/>
        <w:spacing w:line="240" w:lineRule="auto"/>
        <w:ind w:firstLine="840" w:firstLineChars="400"/>
      </w:pPr>
      <m:oMath>
        <m:sSub>
          <m:sSubPr>
            <m:ctrlPr>
              <w:rPr>
                <w:rFonts w:ascii="Cambria Math" w:hAnsi="Cambria Math"/>
                <w:i/>
              </w:rPr>
            </m:ctrlPr>
          </m:sSubPr>
          <m:e>
            <m:r>
              <m:rPr/>
              <w:rPr>
                <w:rFonts w:ascii="Cambria Math" w:hAnsi="Cambria Math"/>
              </w:rPr>
              <m:t>σ</m:t>
            </m:r>
            <m:ctrlPr>
              <w:rPr>
                <w:rFonts w:ascii="Cambria Math" w:hAnsi="Cambria Math"/>
                <w:i/>
              </w:rPr>
            </m:ctrlPr>
          </m:e>
          <m:sub>
            <m:sSub>
              <m:sSubPr>
                <m:ctrlPr>
                  <w:rPr>
                    <w:rFonts w:ascii="Cambria Math" w:hAnsi="Cambria Math"/>
                    <w:i/>
                  </w:rPr>
                </m:ctrlPr>
              </m:sSubPr>
              <m:e>
                <m:r>
                  <m:rPr>
                    <m:sty m:val="p"/>
                  </m:rPr>
                  <w:rPr>
                    <w:rFonts w:ascii="Cambria Math" w:hAnsi="Cambria Math"/>
                  </w:rPr>
                  <m:t>I</m:t>
                </m:r>
                <m:ctrlPr>
                  <w:rPr>
                    <w:rFonts w:ascii="Cambria Math" w:hAnsi="Cambria Math"/>
                    <w:i/>
                  </w:rPr>
                </m:ctrlPr>
              </m:e>
              <m:sub>
                <m:r>
                  <m:rPr>
                    <m:sty m:val="p"/>
                  </m:rPr>
                  <w:rPr>
                    <w:rFonts w:ascii="Cambria Math" w:hAnsi="Cambria Math"/>
                  </w:rPr>
                  <m:t>cya</m:t>
                </m:r>
                <m:ctrlPr>
                  <w:rPr>
                    <w:rFonts w:ascii="Cambria Math" w:hAnsi="Cambria Math"/>
                    <w:i/>
                  </w:rPr>
                </m:ctrlPr>
              </m:sub>
            </m:sSub>
            <m:ctrlPr>
              <w:rPr>
                <w:rFonts w:ascii="Cambria Math" w:hAnsi="Cambria Math"/>
                <w:i/>
              </w:rPr>
            </m:ctrlPr>
          </m:sub>
        </m:sSub>
      </m:oMath>
      <w:r>
        <w:rPr>
          <w:rFonts w:hint="eastAsia"/>
        </w:rPr>
        <w:t>——</w:t>
      </w:r>
      <m:oMath>
        <m:sSub>
          <m:sSubPr>
            <m:ctrlPr>
              <w:rPr>
                <w:rFonts w:ascii="Cambria Math" w:hAnsi="Cambria Math"/>
                <w:i/>
              </w:rPr>
            </m:ctrlPr>
          </m:sSubPr>
          <m:e>
            <m:r>
              <m:rPr/>
              <w:rPr>
                <w:rFonts w:ascii="Cambria Math" w:hAnsi="Cambria Math"/>
              </w:rPr>
              <m:t>I</m:t>
            </m:r>
            <m:ctrlPr>
              <w:rPr>
                <w:rFonts w:ascii="Cambria Math" w:hAnsi="Cambria Math"/>
                <w:i/>
              </w:rPr>
            </m:ctrlPr>
          </m:e>
          <m:sub>
            <m:r>
              <m:rPr>
                <m:sty m:val="p"/>
              </m:rPr>
              <w:rPr>
                <w:rFonts w:ascii="Cambria Math" w:hAnsi="Cambria Math"/>
              </w:rPr>
              <m:t>cya</m:t>
            </m:r>
            <m:ctrlPr>
              <w:rPr>
                <w:rFonts w:ascii="Cambria Math" w:hAnsi="Cambria Math"/>
                <w:i/>
              </w:rPr>
            </m:ctrlPr>
          </m:sub>
        </m:sSub>
      </m:oMath>
      <w:r>
        <w:t>的标准差</w:t>
      </w:r>
      <w:r>
        <w:rPr>
          <w:rFonts w:hint="eastAsia"/>
        </w:rPr>
        <w:t>。</w:t>
      </w:r>
    </w:p>
    <w:p w14:paraId="1A889573">
      <w:pPr>
        <w:pStyle w:val="55"/>
        <w:spacing w:line="240" w:lineRule="auto"/>
        <w:ind w:firstLine="420"/>
      </w:pPr>
      <w:r>
        <w:rPr>
          <w:rFonts w:hint="eastAsia"/>
        </w:rPr>
        <w:t>计算得到6类气象因子权重系数</w:t>
      </w:r>
      <m:oMath>
        <m:sSub>
          <m:sSubPr>
            <m:ctrlPr>
              <w:rPr>
                <w:rFonts w:ascii="Cambria Math" w:hAnsi="Cambria Math"/>
                <w:i/>
              </w:rPr>
            </m:ctrlPr>
          </m:sSubPr>
          <m:e>
            <m:r>
              <m:rPr/>
              <w:rPr>
                <w:rFonts w:ascii="Cambria Math" w:hAnsi="Cambria Math"/>
                <w:vertAlign w:val="subscript"/>
              </w:rPr>
              <m:t>C</m:t>
            </m:r>
            <m:ctrlPr>
              <w:rPr>
                <w:rFonts w:ascii="Cambria Math" w:hAnsi="Cambria Math"/>
                <w:i/>
              </w:rPr>
            </m:ctrlPr>
          </m:e>
          <m:sub>
            <m:r>
              <m:rPr/>
              <w:rPr>
                <w:rFonts w:ascii="Cambria Math" w:hAnsi="Cambria Math"/>
              </w:rPr>
              <m:t>i</m:t>
            </m:r>
            <m:ctrlPr>
              <w:rPr>
                <w:rFonts w:ascii="Cambria Math" w:hAnsi="Cambria Math"/>
                <w:i/>
              </w:rPr>
            </m:ctrlPr>
          </m:sub>
        </m:sSub>
      </m:oMath>
      <w:r>
        <w:rPr>
          <w:rFonts w:hint="eastAsia"/>
        </w:rPr>
        <w:t>取值见表2。</w:t>
      </w:r>
    </w:p>
    <w:p w14:paraId="4C024878">
      <w:pPr>
        <w:pStyle w:val="112"/>
        <w:spacing w:before="156" w:after="156"/>
      </w:pPr>
      <w:r>
        <w:rPr>
          <w:rFonts w:hint="eastAsia"/>
        </w:rPr>
        <w:t>气象因子权重系数取值情况</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4"/>
        <w:gridCol w:w="2333"/>
        <w:gridCol w:w="2333"/>
        <w:gridCol w:w="2334"/>
      </w:tblGrid>
      <w:tr w14:paraId="27D4E3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gridSpan w:val="2"/>
            <w:tcBorders>
              <w:top w:val="single" w:color="auto" w:sz="8" w:space="0"/>
              <w:bottom w:val="single" w:color="auto" w:sz="8" w:space="0"/>
            </w:tcBorders>
            <w:shd w:val="clear" w:color="auto" w:fill="auto"/>
            <w:vAlign w:val="center"/>
          </w:tcPr>
          <w:p w14:paraId="4B523E0C">
            <w:pPr>
              <w:pStyle w:val="178"/>
            </w:pPr>
            <w:r>
              <w:rPr>
                <w:rFonts w:hint="eastAsia"/>
                <w:szCs w:val="18"/>
              </w:rPr>
              <w:t>气象因子</w:t>
            </w:r>
            <w:r>
              <w:rPr>
                <w:rFonts w:hint="eastAsia"/>
                <w:i/>
                <w:szCs w:val="18"/>
              </w:rPr>
              <w:t>x</w:t>
            </w:r>
            <w:r>
              <w:rPr>
                <w:rFonts w:hint="eastAsia"/>
                <w:i/>
                <w:szCs w:val="18"/>
                <w:vertAlign w:val="subscript"/>
              </w:rPr>
              <w:t>i</w:t>
            </w:r>
          </w:p>
        </w:tc>
        <w:tc>
          <w:tcPr>
            <w:tcW w:w="4667" w:type="dxa"/>
            <w:gridSpan w:val="2"/>
            <w:tcBorders>
              <w:top w:val="single" w:color="auto" w:sz="8" w:space="0"/>
              <w:bottom w:val="single" w:color="auto" w:sz="8" w:space="0"/>
            </w:tcBorders>
            <w:shd w:val="clear" w:color="auto" w:fill="auto"/>
            <w:vAlign w:val="center"/>
          </w:tcPr>
          <w:p w14:paraId="24396814">
            <w:pPr>
              <w:pStyle w:val="178"/>
            </w:pPr>
            <w:r>
              <w:rPr>
                <w:rFonts w:hint="eastAsia"/>
                <w:szCs w:val="18"/>
              </w:rPr>
              <w:t>权重系数</w:t>
            </w:r>
            <w:r>
              <w:rPr>
                <w:rFonts w:hint="eastAsia"/>
                <w:i/>
                <w:szCs w:val="18"/>
              </w:rPr>
              <w:t>C</w:t>
            </w:r>
            <w:r>
              <w:rPr>
                <w:rFonts w:hint="eastAsia"/>
                <w:i/>
                <w:szCs w:val="18"/>
                <w:vertAlign w:val="subscript"/>
              </w:rPr>
              <w:t>i</w:t>
            </w:r>
          </w:p>
        </w:tc>
      </w:tr>
      <w:tr w14:paraId="0136EC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tcBorders>
              <w:top w:val="single" w:color="auto" w:sz="8" w:space="0"/>
            </w:tcBorders>
            <w:shd w:val="clear" w:color="auto" w:fill="auto"/>
          </w:tcPr>
          <w:p w14:paraId="7291ADC5">
            <w:pPr>
              <w:snapToGrid w:val="0"/>
              <w:spacing w:line="360" w:lineRule="auto"/>
              <w:rPr>
                <w:sz w:val="18"/>
                <w:szCs w:val="18"/>
              </w:rPr>
            </w:pPr>
            <w:r>
              <w:rPr>
                <w:i/>
                <w:sz w:val="18"/>
                <w:szCs w:val="18"/>
              </w:rPr>
              <w:t>x</w:t>
            </w:r>
            <w:r>
              <w:rPr>
                <w:sz w:val="18"/>
                <w:szCs w:val="18"/>
                <w:vertAlign w:val="subscript"/>
              </w:rPr>
              <w:t>1</w:t>
            </w:r>
          </w:p>
        </w:tc>
        <w:tc>
          <w:tcPr>
            <w:tcW w:w="2333" w:type="dxa"/>
            <w:tcBorders>
              <w:top w:val="single" w:color="auto" w:sz="8" w:space="0"/>
            </w:tcBorders>
            <w:shd w:val="clear" w:color="auto" w:fill="auto"/>
          </w:tcPr>
          <w:p w14:paraId="0B8B192F">
            <w:pPr>
              <w:snapToGrid w:val="0"/>
              <w:spacing w:line="360" w:lineRule="auto"/>
              <w:rPr>
                <w:sz w:val="18"/>
                <w:szCs w:val="18"/>
              </w:rPr>
            </w:pPr>
            <w:r>
              <w:rPr>
                <w:sz w:val="18"/>
                <w:szCs w:val="18"/>
              </w:rPr>
              <w:t>年平均气温</w:t>
            </w:r>
            <w:r>
              <w:rPr>
                <w:i/>
                <w:sz w:val="18"/>
                <w:szCs w:val="18"/>
              </w:rPr>
              <w:t>T</w:t>
            </w:r>
            <w:r>
              <w:rPr>
                <w:sz w:val="18"/>
                <w:szCs w:val="18"/>
                <w:vertAlign w:val="subscript"/>
              </w:rPr>
              <w:t>y</w:t>
            </w:r>
          </w:p>
        </w:tc>
        <w:tc>
          <w:tcPr>
            <w:tcW w:w="2333" w:type="dxa"/>
            <w:tcBorders>
              <w:top w:val="single" w:color="auto" w:sz="8" w:space="0"/>
            </w:tcBorders>
            <w:shd w:val="clear" w:color="auto" w:fill="auto"/>
          </w:tcPr>
          <w:p w14:paraId="46E91B58">
            <w:pPr>
              <w:snapToGrid w:val="0"/>
              <w:spacing w:line="360" w:lineRule="auto"/>
              <w:rPr>
                <w:sz w:val="18"/>
                <w:szCs w:val="18"/>
              </w:rPr>
            </w:pPr>
            <w:r>
              <w:rPr>
                <w:rFonts w:hint="eastAsia"/>
                <w:i/>
                <w:sz w:val="18"/>
                <w:szCs w:val="18"/>
              </w:rPr>
              <w:t>C</w:t>
            </w:r>
            <w:r>
              <w:rPr>
                <w:sz w:val="18"/>
                <w:szCs w:val="18"/>
                <w:vertAlign w:val="subscript"/>
              </w:rPr>
              <w:t>1</w:t>
            </w:r>
          </w:p>
        </w:tc>
        <w:tc>
          <w:tcPr>
            <w:tcW w:w="2334" w:type="dxa"/>
            <w:tcBorders>
              <w:top w:val="single" w:color="auto" w:sz="8" w:space="0"/>
            </w:tcBorders>
            <w:shd w:val="clear" w:color="auto" w:fill="auto"/>
          </w:tcPr>
          <w:p w14:paraId="65B3E89F">
            <w:pPr>
              <w:snapToGrid w:val="0"/>
              <w:spacing w:line="360" w:lineRule="auto"/>
              <w:rPr>
                <w:sz w:val="18"/>
                <w:szCs w:val="18"/>
              </w:rPr>
            </w:pPr>
            <w:r>
              <w:rPr>
                <w:sz w:val="18"/>
                <w:szCs w:val="18"/>
              </w:rPr>
              <w:t>0.42</w:t>
            </w:r>
          </w:p>
        </w:tc>
      </w:tr>
      <w:tr w14:paraId="585BCE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2137B28E">
            <w:pPr>
              <w:snapToGrid w:val="0"/>
              <w:spacing w:line="360" w:lineRule="auto"/>
              <w:rPr>
                <w:sz w:val="18"/>
                <w:szCs w:val="18"/>
              </w:rPr>
            </w:pPr>
            <w:r>
              <w:rPr>
                <w:i/>
                <w:sz w:val="18"/>
                <w:szCs w:val="18"/>
              </w:rPr>
              <w:t>x</w:t>
            </w:r>
            <w:r>
              <w:rPr>
                <w:sz w:val="18"/>
                <w:szCs w:val="18"/>
                <w:vertAlign w:val="subscript"/>
              </w:rPr>
              <w:t>2</w:t>
            </w:r>
          </w:p>
        </w:tc>
        <w:tc>
          <w:tcPr>
            <w:tcW w:w="2333" w:type="dxa"/>
            <w:shd w:val="clear" w:color="auto" w:fill="auto"/>
          </w:tcPr>
          <w:p w14:paraId="6D25F0BF">
            <w:pPr>
              <w:snapToGrid w:val="0"/>
              <w:spacing w:line="360" w:lineRule="auto"/>
              <w:rPr>
                <w:sz w:val="18"/>
                <w:szCs w:val="18"/>
              </w:rPr>
            </w:pPr>
            <w:r>
              <w:rPr>
                <w:sz w:val="18"/>
                <w:szCs w:val="18"/>
              </w:rPr>
              <w:t>1-3月平均气温</w:t>
            </w:r>
            <w:r>
              <w:rPr>
                <w:i/>
                <w:sz w:val="18"/>
                <w:szCs w:val="18"/>
              </w:rPr>
              <w:t>T</w:t>
            </w:r>
            <w:r>
              <w:rPr>
                <w:sz w:val="18"/>
                <w:szCs w:val="18"/>
                <w:vertAlign w:val="subscript"/>
              </w:rPr>
              <w:t>1-3</w:t>
            </w:r>
          </w:p>
        </w:tc>
        <w:tc>
          <w:tcPr>
            <w:tcW w:w="2333" w:type="dxa"/>
            <w:shd w:val="clear" w:color="auto" w:fill="auto"/>
          </w:tcPr>
          <w:p w14:paraId="119945E5">
            <w:pPr>
              <w:snapToGrid w:val="0"/>
              <w:spacing w:line="360" w:lineRule="auto"/>
              <w:rPr>
                <w:sz w:val="18"/>
                <w:szCs w:val="18"/>
              </w:rPr>
            </w:pPr>
            <w:r>
              <w:rPr>
                <w:rFonts w:hint="eastAsia"/>
                <w:i/>
                <w:sz w:val="18"/>
                <w:szCs w:val="18"/>
              </w:rPr>
              <w:t>C</w:t>
            </w:r>
            <w:r>
              <w:rPr>
                <w:sz w:val="18"/>
                <w:szCs w:val="18"/>
                <w:vertAlign w:val="subscript"/>
              </w:rPr>
              <w:t>2</w:t>
            </w:r>
          </w:p>
        </w:tc>
        <w:tc>
          <w:tcPr>
            <w:tcW w:w="2334" w:type="dxa"/>
            <w:shd w:val="clear" w:color="auto" w:fill="auto"/>
          </w:tcPr>
          <w:p w14:paraId="7B380CD9">
            <w:pPr>
              <w:snapToGrid w:val="0"/>
              <w:spacing w:line="360" w:lineRule="auto"/>
              <w:rPr>
                <w:sz w:val="18"/>
                <w:szCs w:val="18"/>
              </w:rPr>
            </w:pPr>
            <w:r>
              <w:rPr>
                <w:sz w:val="18"/>
                <w:szCs w:val="18"/>
              </w:rPr>
              <w:t>0.16</w:t>
            </w:r>
          </w:p>
        </w:tc>
      </w:tr>
      <w:tr w14:paraId="3B8D80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2AEDB695">
            <w:pPr>
              <w:snapToGrid w:val="0"/>
              <w:spacing w:line="360" w:lineRule="auto"/>
              <w:rPr>
                <w:sz w:val="18"/>
                <w:szCs w:val="18"/>
              </w:rPr>
            </w:pPr>
            <w:r>
              <w:rPr>
                <w:i/>
                <w:sz w:val="18"/>
                <w:szCs w:val="18"/>
              </w:rPr>
              <w:t>x</w:t>
            </w:r>
            <w:r>
              <w:rPr>
                <w:sz w:val="18"/>
                <w:szCs w:val="18"/>
                <w:vertAlign w:val="subscript"/>
              </w:rPr>
              <w:t>3</w:t>
            </w:r>
          </w:p>
        </w:tc>
        <w:tc>
          <w:tcPr>
            <w:tcW w:w="2333" w:type="dxa"/>
            <w:shd w:val="clear" w:color="auto" w:fill="auto"/>
          </w:tcPr>
          <w:p w14:paraId="5B2C76EC">
            <w:pPr>
              <w:snapToGrid w:val="0"/>
              <w:spacing w:line="360" w:lineRule="auto"/>
              <w:rPr>
                <w:sz w:val="18"/>
                <w:szCs w:val="18"/>
              </w:rPr>
            </w:pPr>
            <w:r>
              <w:rPr>
                <w:sz w:val="18"/>
                <w:szCs w:val="18"/>
              </w:rPr>
              <w:t>年累计降水量</w:t>
            </w:r>
            <w:r>
              <w:rPr>
                <w:i/>
                <w:sz w:val="18"/>
                <w:szCs w:val="18"/>
              </w:rPr>
              <w:t>R</w:t>
            </w:r>
            <w:r>
              <w:rPr>
                <w:sz w:val="18"/>
                <w:szCs w:val="18"/>
                <w:vertAlign w:val="subscript"/>
              </w:rPr>
              <w:t>y</w:t>
            </w:r>
          </w:p>
        </w:tc>
        <w:tc>
          <w:tcPr>
            <w:tcW w:w="2333" w:type="dxa"/>
            <w:shd w:val="clear" w:color="auto" w:fill="auto"/>
          </w:tcPr>
          <w:p w14:paraId="0299E0B8">
            <w:pPr>
              <w:snapToGrid w:val="0"/>
              <w:spacing w:line="360" w:lineRule="auto"/>
              <w:rPr>
                <w:sz w:val="18"/>
                <w:szCs w:val="18"/>
              </w:rPr>
            </w:pPr>
            <w:r>
              <w:rPr>
                <w:rFonts w:hint="eastAsia"/>
                <w:i/>
                <w:sz w:val="18"/>
                <w:szCs w:val="18"/>
              </w:rPr>
              <w:t>C</w:t>
            </w:r>
            <w:r>
              <w:rPr>
                <w:sz w:val="18"/>
                <w:szCs w:val="18"/>
                <w:vertAlign w:val="subscript"/>
              </w:rPr>
              <w:t>3</w:t>
            </w:r>
          </w:p>
        </w:tc>
        <w:tc>
          <w:tcPr>
            <w:tcW w:w="2334" w:type="dxa"/>
            <w:shd w:val="clear" w:color="auto" w:fill="auto"/>
          </w:tcPr>
          <w:p w14:paraId="7D35139E">
            <w:pPr>
              <w:snapToGrid w:val="0"/>
              <w:spacing w:line="360" w:lineRule="auto"/>
              <w:rPr>
                <w:sz w:val="18"/>
                <w:szCs w:val="18"/>
              </w:rPr>
            </w:pPr>
            <w:r>
              <w:rPr>
                <w:sz w:val="18"/>
                <w:szCs w:val="18"/>
              </w:rPr>
              <w:t>-0.17</w:t>
            </w:r>
          </w:p>
        </w:tc>
      </w:tr>
      <w:tr w14:paraId="2B1F92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66E47672">
            <w:pPr>
              <w:snapToGrid w:val="0"/>
              <w:spacing w:line="360" w:lineRule="auto"/>
              <w:rPr>
                <w:sz w:val="18"/>
                <w:szCs w:val="18"/>
              </w:rPr>
            </w:pPr>
            <w:r>
              <w:rPr>
                <w:i/>
                <w:sz w:val="18"/>
                <w:szCs w:val="18"/>
              </w:rPr>
              <w:t>x</w:t>
            </w:r>
            <w:r>
              <w:rPr>
                <w:sz w:val="18"/>
                <w:szCs w:val="18"/>
                <w:vertAlign w:val="subscript"/>
              </w:rPr>
              <w:t>4</w:t>
            </w:r>
          </w:p>
        </w:tc>
        <w:tc>
          <w:tcPr>
            <w:tcW w:w="2333" w:type="dxa"/>
            <w:shd w:val="clear" w:color="auto" w:fill="auto"/>
          </w:tcPr>
          <w:p w14:paraId="5693A47E">
            <w:pPr>
              <w:snapToGrid w:val="0"/>
              <w:spacing w:line="360" w:lineRule="auto"/>
              <w:rPr>
                <w:sz w:val="18"/>
                <w:szCs w:val="18"/>
              </w:rPr>
            </w:pPr>
            <w:r>
              <w:rPr>
                <w:sz w:val="18"/>
                <w:szCs w:val="18"/>
              </w:rPr>
              <w:t>6-8月累计降水量</w:t>
            </w:r>
            <w:r>
              <w:rPr>
                <w:i/>
                <w:sz w:val="18"/>
                <w:szCs w:val="18"/>
              </w:rPr>
              <w:t>R</w:t>
            </w:r>
            <w:r>
              <w:rPr>
                <w:sz w:val="18"/>
                <w:szCs w:val="18"/>
                <w:vertAlign w:val="subscript"/>
              </w:rPr>
              <w:t>6-8</w:t>
            </w:r>
          </w:p>
        </w:tc>
        <w:tc>
          <w:tcPr>
            <w:tcW w:w="2333" w:type="dxa"/>
            <w:shd w:val="clear" w:color="auto" w:fill="auto"/>
          </w:tcPr>
          <w:p w14:paraId="4AE40FD1">
            <w:pPr>
              <w:snapToGrid w:val="0"/>
              <w:spacing w:line="360" w:lineRule="auto"/>
              <w:rPr>
                <w:sz w:val="18"/>
                <w:szCs w:val="18"/>
              </w:rPr>
            </w:pPr>
            <w:r>
              <w:rPr>
                <w:rFonts w:hint="eastAsia"/>
                <w:i/>
                <w:sz w:val="18"/>
                <w:szCs w:val="18"/>
              </w:rPr>
              <w:t>C</w:t>
            </w:r>
            <w:r>
              <w:rPr>
                <w:sz w:val="18"/>
                <w:szCs w:val="18"/>
                <w:vertAlign w:val="subscript"/>
              </w:rPr>
              <w:t>4</w:t>
            </w:r>
          </w:p>
        </w:tc>
        <w:tc>
          <w:tcPr>
            <w:tcW w:w="2334" w:type="dxa"/>
            <w:shd w:val="clear" w:color="auto" w:fill="auto"/>
          </w:tcPr>
          <w:p w14:paraId="714CA3F0">
            <w:pPr>
              <w:snapToGrid w:val="0"/>
              <w:spacing w:line="360" w:lineRule="auto"/>
              <w:rPr>
                <w:sz w:val="18"/>
                <w:szCs w:val="18"/>
              </w:rPr>
            </w:pPr>
            <w:r>
              <w:rPr>
                <w:sz w:val="18"/>
                <w:szCs w:val="18"/>
              </w:rPr>
              <w:t>-0.05</w:t>
            </w:r>
          </w:p>
        </w:tc>
      </w:tr>
      <w:tr w14:paraId="20C919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3A1C7F15">
            <w:pPr>
              <w:snapToGrid w:val="0"/>
              <w:spacing w:line="360" w:lineRule="auto"/>
              <w:rPr>
                <w:sz w:val="18"/>
                <w:szCs w:val="18"/>
              </w:rPr>
            </w:pPr>
            <w:r>
              <w:rPr>
                <w:i/>
                <w:sz w:val="18"/>
                <w:szCs w:val="18"/>
              </w:rPr>
              <w:t>x</w:t>
            </w:r>
            <w:r>
              <w:rPr>
                <w:sz w:val="18"/>
                <w:szCs w:val="18"/>
                <w:vertAlign w:val="subscript"/>
              </w:rPr>
              <w:t>5</w:t>
            </w:r>
          </w:p>
        </w:tc>
        <w:tc>
          <w:tcPr>
            <w:tcW w:w="2333" w:type="dxa"/>
            <w:shd w:val="clear" w:color="auto" w:fill="auto"/>
          </w:tcPr>
          <w:p w14:paraId="7EF1D6B7">
            <w:pPr>
              <w:snapToGrid w:val="0"/>
              <w:spacing w:line="360" w:lineRule="auto"/>
              <w:rPr>
                <w:sz w:val="18"/>
                <w:szCs w:val="18"/>
              </w:rPr>
            </w:pPr>
            <w:r>
              <w:rPr>
                <w:sz w:val="18"/>
                <w:szCs w:val="18"/>
              </w:rPr>
              <w:t>年平均高温日数</w:t>
            </w:r>
            <w:r>
              <w:rPr>
                <w:i/>
                <w:sz w:val="18"/>
                <w:szCs w:val="18"/>
              </w:rPr>
              <w:t>D</w:t>
            </w:r>
            <w:r>
              <w:rPr>
                <w:sz w:val="18"/>
                <w:szCs w:val="18"/>
                <w:vertAlign w:val="subscript"/>
              </w:rPr>
              <w:t>Th</w:t>
            </w:r>
          </w:p>
        </w:tc>
        <w:tc>
          <w:tcPr>
            <w:tcW w:w="2333" w:type="dxa"/>
            <w:shd w:val="clear" w:color="auto" w:fill="auto"/>
          </w:tcPr>
          <w:p w14:paraId="663FB742">
            <w:pPr>
              <w:snapToGrid w:val="0"/>
              <w:spacing w:line="360" w:lineRule="auto"/>
              <w:rPr>
                <w:sz w:val="18"/>
                <w:szCs w:val="18"/>
              </w:rPr>
            </w:pPr>
            <w:r>
              <w:rPr>
                <w:rFonts w:hint="eastAsia"/>
                <w:i/>
                <w:sz w:val="18"/>
                <w:szCs w:val="18"/>
              </w:rPr>
              <w:t>C</w:t>
            </w:r>
            <w:r>
              <w:rPr>
                <w:sz w:val="18"/>
                <w:szCs w:val="18"/>
                <w:vertAlign w:val="subscript"/>
              </w:rPr>
              <w:t>5</w:t>
            </w:r>
          </w:p>
        </w:tc>
        <w:tc>
          <w:tcPr>
            <w:tcW w:w="2334" w:type="dxa"/>
            <w:shd w:val="clear" w:color="auto" w:fill="auto"/>
          </w:tcPr>
          <w:p w14:paraId="3D556F19">
            <w:pPr>
              <w:snapToGrid w:val="0"/>
              <w:spacing w:line="360" w:lineRule="auto"/>
              <w:rPr>
                <w:sz w:val="18"/>
                <w:szCs w:val="18"/>
              </w:rPr>
            </w:pPr>
            <w:r>
              <w:rPr>
                <w:sz w:val="18"/>
                <w:szCs w:val="18"/>
              </w:rPr>
              <w:t>-0.03</w:t>
            </w:r>
          </w:p>
        </w:tc>
      </w:tr>
      <w:tr w14:paraId="7372AC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0C6AF773">
            <w:pPr>
              <w:snapToGrid w:val="0"/>
              <w:spacing w:line="360" w:lineRule="auto"/>
              <w:rPr>
                <w:sz w:val="18"/>
                <w:szCs w:val="18"/>
              </w:rPr>
            </w:pPr>
            <w:r>
              <w:rPr>
                <w:i/>
                <w:sz w:val="18"/>
                <w:szCs w:val="18"/>
              </w:rPr>
              <w:t>x</w:t>
            </w:r>
            <w:r>
              <w:rPr>
                <w:sz w:val="18"/>
                <w:szCs w:val="18"/>
                <w:vertAlign w:val="subscript"/>
              </w:rPr>
              <w:t>6</w:t>
            </w:r>
          </w:p>
        </w:tc>
        <w:tc>
          <w:tcPr>
            <w:tcW w:w="2333" w:type="dxa"/>
            <w:shd w:val="clear" w:color="auto" w:fill="auto"/>
          </w:tcPr>
          <w:p w14:paraId="0EE990EF">
            <w:pPr>
              <w:snapToGrid w:val="0"/>
              <w:spacing w:line="360" w:lineRule="auto"/>
              <w:rPr>
                <w:sz w:val="18"/>
                <w:szCs w:val="18"/>
              </w:rPr>
            </w:pPr>
            <w:r>
              <w:rPr>
                <w:sz w:val="18"/>
                <w:szCs w:val="18"/>
              </w:rPr>
              <w:t>年平均风速</w:t>
            </w:r>
            <w:r>
              <w:rPr>
                <w:i/>
                <w:sz w:val="18"/>
                <w:szCs w:val="18"/>
              </w:rPr>
              <w:t>W</w:t>
            </w:r>
            <w:r>
              <w:rPr>
                <w:sz w:val="18"/>
                <w:szCs w:val="18"/>
                <w:vertAlign w:val="subscript"/>
              </w:rPr>
              <w:t>y</w:t>
            </w:r>
          </w:p>
        </w:tc>
        <w:tc>
          <w:tcPr>
            <w:tcW w:w="2333" w:type="dxa"/>
            <w:shd w:val="clear" w:color="auto" w:fill="auto"/>
          </w:tcPr>
          <w:p w14:paraId="3A4402F0">
            <w:pPr>
              <w:snapToGrid w:val="0"/>
              <w:spacing w:line="360" w:lineRule="auto"/>
              <w:rPr>
                <w:sz w:val="18"/>
                <w:szCs w:val="18"/>
              </w:rPr>
            </w:pPr>
            <w:r>
              <w:rPr>
                <w:rFonts w:hint="eastAsia"/>
                <w:i/>
                <w:sz w:val="18"/>
                <w:szCs w:val="18"/>
              </w:rPr>
              <w:t>C</w:t>
            </w:r>
            <w:r>
              <w:rPr>
                <w:sz w:val="18"/>
                <w:szCs w:val="18"/>
                <w:vertAlign w:val="subscript"/>
              </w:rPr>
              <w:t>6</w:t>
            </w:r>
          </w:p>
        </w:tc>
        <w:tc>
          <w:tcPr>
            <w:tcW w:w="2334" w:type="dxa"/>
            <w:shd w:val="clear" w:color="auto" w:fill="auto"/>
          </w:tcPr>
          <w:p w14:paraId="3F86B80C">
            <w:pPr>
              <w:snapToGrid w:val="0"/>
              <w:spacing w:line="360" w:lineRule="auto"/>
              <w:rPr>
                <w:sz w:val="18"/>
                <w:szCs w:val="18"/>
              </w:rPr>
            </w:pPr>
            <w:r>
              <w:rPr>
                <w:sz w:val="18"/>
                <w:szCs w:val="18"/>
              </w:rPr>
              <w:t>-0.17</w:t>
            </w:r>
          </w:p>
        </w:tc>
      </w:tr>
    </w:tbl>
    <w:p w14:paraId="4866D09B">
      <w:pPr>
        <w:snapToGrid w:val="0"/>
        <w:spacing w:line="240" w:lineRule="auto"/>
        <w:ind w:firstLine="840" w:firstLineChars="400"/>
      </w:pPr>
    </w:p>
    <w:p w14:paraId="1EA96EA8">
      <w:pPr>
        <w:pStyle w:val="65"/>
        <w:spacing w:before="156" w:after="156"/>
      </w:pPr>
      <w:r>
        <w:rPr>
          <w:rFonts w:hint="eastAsia"/>
        </w:rPr>
        <w:t>构建气象影响评估模型</w:t>
      </w:r>
    </w:p>
    <w:p w14:paraId="0E629404">
      <w:pPr>
        <w:pStyle w:val="56"/>
        <w:ind w:firstLine="420"/>
      </w:pPr>
      <w:r>
        <w:rPr>
          <w:rFonts w:hint="eastAsia"/>
        </w:rPr>
        <w:t>将气象因子进行归一化处理，构建蓝藻水华气象影响评估模型，得到气象适宜度指数计算公式：</w:t>
      </w:r>
    </w:p>
    <w:p w14:paraId="663F72C7">
      <w:pPr>
        <w:pStyle w:val="113"/>
      </w:pPr>
      <w:r>
        <w:tab/>
      </w:r>
      <m:oMath>
        <m:sSub>
          <m:sSubPr>
            <m:ctrlPr>
              <w:rPr>
                <w:rFonts w:ascii="Cambria Math" w:hAnsi="Cambria Math"/>
                <w:i/>
              </w:rPr>
            </m:ctrlPr>
          </m:sSubPr>
          <m:e>
            <m:r>
              <m:rPr/>
              <w:rPr>
                <w:rFonts w:ascii="Cambria Math" w:hAnsi="Cambria Math"/>
              </w:rPr>
              <m:t>I</m:t>
            </m:r>
            <m:ctrlPr>
              <w:rPr>
                <w:rFonts w:ascii="Cambria Math" w:hAnsi="Cambria Math"/>
                <w:i/>
              </w:rPr>
            </m:ctrlPr>
          </m:e>
          <m:sub>
            <m:r>
              <m:rPr>
                <m:sty m:val="p"/>
              </m:rPr>
              <w:rPr>
                <w:rFonts w:ascii="Cambria Math" w:hAnsi="Cambria Math"/>
              </w:rPr>
              <m:t>mcb</m:t>
            </m:r>
            <m:ctrlPr>
              <w:rPr>
                <w:rFonts w:ascii="Cambria Math" w:hAnsi="Cambria Math"/>
                <w:i/>
              </w:rPr>
            </m:ctrlPr>
          </m:sub>
        </m:sSub>
        <m:r>
          <m:rPr>
            <m:sty m:val="p"/>
          </m:rPr>
          <w:rPr>
            <w:rFonts w:ascii="Cambria Math" w:hAnsi="Cambria Math"/>
          </w:rPr>
          <m:t>=</m:t>
        </m:r>
        <m:nary>
          <m:naryPr>
            <m:chr m:val="∑"/>
            <m:limLoc m:val="undOvr"/>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n</m:t>
            </m:r>
            <m:ctrlPr>
              <w:rPr>
                <w:rFonts w:ascii="Cambria Math" w:hAnsi="Cambria Math"/>
              </w:rPr>
            </m:ctrlPr>
          </m:sup>
          <m:e>
            <m:sSub>
              <m:sSubPr>
                <m:ctrlPr>
                  <w:rPr>
                    <w:rFonts w:ascii="Cambria Math" w:hAnsi="Cambria Math"/>
                  </w:rPr>
                </m:ctrlPr>
              </m:sSubPr>
              <m:e>
                <m:r>
                  <m:rPr/>
                  <w:rPr>
                    <w:rFonts w:ascii="Cambria Math" w:hAnsi="Cambria Math"/>
                  </w:rPr>
                  <m:t>C</m:t>
                </m:r>
                <m:ctrlPr>
                  <w:rPr>
                    <w:rFonts w:ascii="Cambria Math" w:hAnsi="Cambria Math"/>
                  </w:rPr>
                </m:ctrlPr>
              </m:e>
              <m:sub>
                <m:r>
                  <m:rPr/>
                  <w:rPr>
                    <w:rFonts w:ascii="Cambria Math" w:hAnsi="Cambria Math"/>
                  </w:rPr>
                  <m:t>i</m:t>
                </m:r>
                <m:ctrlPr>
                  <w:rPr>
                    <w:rFonts w:ascii="Cambria Math" w:hAnsi="Cambria Math"/>
                  </w:rPr>
                </m:ctrlPr>
              </m:sub>
            </m:sSub>
            <m:r>
              <m:rPr/>
              <w:rPr>
                <w:rFonts w:hint="eastAsia"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i,</m:t>
                    </m:r>
                    <m:r>
                      <m:rPr>
                        <m:sty m:val="p"/>
                      </m:rPr>
                      <w:rPr>
                        <w:rFonts w:ascii="Cambria Math" w:hAnsi="Cambria Math"/>
                      </w:rPr>
                      <m:t>min</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i,</m:t>
                    </m:r>
                    <m:r>
                      <m:rPr>
                        <m:sty m:val="p"/>
                      </m:rPr>
                      <w:rPr>
                        <w:rFonts w:ascii="Cambria Math" w:hAnsi="Cambria Math"/>
                      </w:rPr>
                      <m:t>max</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i,</m:t>
                    </m:r>
                    <m:r>
                      <m:rPr>
                        <m:sty m:val="p"/>
                      </m:rPr>
                      <w:rPr>
                        <w:rFonts w:ascii="Cambria Math" w:hAnsi="Cambria Math"/>
                      </w:rPr>
                      <m:t>min</m:t>
                    </m:r>
                    <m:ctrlPr>
                      <w:rPr>
                        <w:rFonts w:ascii="Cambria Math" w:hAnsi="Cambria Math"/>
                        <w:i/>
                      </w:rPr>
                    </m:ctrlPr>
                  </m:sub>
                </m:sSub>
                <m:ctrlPr>
                  <w:rPr>
                    <w:rFonts w:ascii="Cambria Math" w:hAnsi="Cambria Math"/>
                    <w:i/>
                  </w:rPr>
                </m:ctrlPr>
              </m:den>
            </m:f>
            <m:ctrlPr>
              <w:rPr>
                <w:rFonts w:ascii="Cambria Math" w:hAnsi="Cambria Math"/>
              </w:rPr>
            </m:ctrlPr>
          </m:e>
        </m:nary>
      </m:oMath>
      <w:r>
        <w:rPr>
          <w:rFonts w:hint="eastAsia"/>
        </w:rPr>
        <w:t xml:space="preserve"> ，</w:t>
      </w:r>
      <m:oMath>
        <m:r>
          <m:rPr>
            <m:sty m:val="p"/>
          </m:rPr>
          <w:rPr>
            <w:rFonts w:hint="eastAsia" w:ascii="Cambria Math" w:hAnsi="Cambria Math"/>
          </w:rPr>
          <m:t>（</m:t>
        </m:r>
        <m:r>
          <m:rPr/>
          <w:rPr>
            <w:rFonts w:ascii="Cambria Math" w:hAnsi="Cambria Math"/>
          </w:rPr>
          <m:t>n</m:t>
        </m:r>
      </m:oMath>
      <w:r>
        <w:rPr>
          <w:rFonts w:hint="eastAsia"/>
        </w:rPr>
        <w:t>=6）</w:t>
      </w:r>
      <w:r>
        <w:rPr>
          <w:rFonts w:ascii="微软雅黑" w:hAnsi="微软雅黑" w:eastAsia="微软雅黑"/>
        </w:rPr>
        <w:tab/>
      </w:r>
      <w:r>
        <w:t>(</w:t>
      </w:r>
      <w:r>
        <w:fldChar w:fldCharType="begin"/>
      </w:r>
      <w:r>
        <w:instrText xml:space="preserve"> AUTONUM </w:instrText>
      </w:r>
      <w:r>
        <w:fldChar w:fldCharType="end"/>
      </w:r>
      <w:r>
        <w:t>)</w:t>
      </w:r>
    </w:p>
    <w:p w14:paraId="7E86415B">
      <w:pPr>
        <w:snapToGrid w:val="0"/>
        <w:spacing w:line="240" w:lineRule="auto"/>
        <w:ind w:firstLine="420" w:firstLineChars="200"/>
      </w:pPr>
      <w:r>
        <w:rPr>
          <w:rFonts w:hint="eastAsia"/>
        </w:rPr>
        <w:t>式中：</w:t>
      </w:r>
    </w:p>
    <w:p w14:paraId="6A448947">
      <w:pPr>
        <w:snapToGrid w:val="0"/>
        <w:spacing w:line="240" w:lineRule="auto"/>
        <w:ind w:firstLine="840" w:firstLineChars="400"/>
      </w:pPr>
      <m:oMath>
        <m:sSub>
          <m:sSubPr>
            <m:ctrlPr>
              <w:rPr>
                <w:rFonts w:ascii="Cambria Math" w:hAnsi="Cambria Math"/>
                <w:i/>
              </w:rPr>
            </m:ctrlPr>
          </m:sSubPr>
          <m:e>
            <m:r>
              <m:rPr/>
              <w:rPr>
                <w:rFonts w:ascii="Cambria Math" w:hAnsi="Cambria Math"/>
              </w:rPr>
              <m:t>I</m:t>
            </m:r>
            <m:ctrlPr>
              <w:rPr>
                <w:rFonts w:ascii="Cambria Math" w:hAnsi="Cambria Math"/>
                <w:i/>
              </w:rPr>
            </m:ctrlPr>
          </m:e>
          <m:sub>
            <m:r>
              <m:rPr>
                <m:sty m:val="p"/>
              </m:rPr>
              <w:rPr>
                <w:rFonts w:ascii="Cambria Math" w:hAnsi="Cambria Math"/>
              </w:rPr>
              <m:t>mcb</m:t>
            </m:r>
            <m:ctrlPr>
              <w:rPr>
                <w:rFonts w:ascii="Cambria Math" w:hAnsi="Cambria Math"/>
                <w:i/>
              </w:rPr>
            </m:ctrlPr>
          </m:sub>
        </m:sSub>
      </m:oMath>
      <w:r>
        <w:rPr>
          <w:rFonts w:hint="eastAsia"/>
        </w:rPr>
        <w:t>——蓝藻水华</w:t>
      </w:r>
      <w:r>
        <w:t>气象适宜度指数</w:t>
      </w:r>
      <w:r>
        <w:rPr>
          <w:rFonts w:hint="eastAsia"/>
        </w:rPr>
        <w:t>；</w:t>
      </w:r>
    </w:p>
    <w:p w14:paraId="010649CD">
      <w:pPr>
        <w:snapToGrid w:val="0"/>
        <w:spacing w:line="240" w:lineRule="auto"/>
        <w:ind w:firstLine="840" w:firstLineChars="400"/>
      </w:pPr>
      <m:oMath>
        <m:sSub>
          <m:sSubPr>
            <m:ctrlPr>
              <w:rPr>
                <w:rFonts w:ascii="Cambria Math" w:hAnsi="Cambria Math"/>
                <w:i/>
              </w:rPr>
            </m:ctrlPr>
          </m:sSubPr>
          <m:e>
            <m:r>
              <m:rPr/>
              <w:rPr>
                <w:rFonts w:hint="eastAsia" w:ascii="Cambria Math" w:hAnsi="Cambria Math"/>
              </w:rPr>
              <m:t>x</m:t>
            </m:r>
            <m:ctrlPr>
              <w:rPr>
                <w:rFonts w:ascii="Cambria Math" w:hAnsi="Cambria Math"/>
                <w:i/>
              </w:rPr>
            </m:ctrlPr>
          </m:e>
          <m:sub>
            <m:r>
              <m:rPr/>
              <w:rPr>
                <w:rFonts w:hint="eastAsia" w:ascii="Cambria Math" w:hAnsi="Cambria Math"/>
              </w:rPr>
              <m:t>i</m:t>
            </m:r>
            <m:r>
              <m:rPr/>
              <w:rPr>
                <w:rFonts w:ascii="Cambria Math" w:hAnsi="Cambria Math"/>
              </w:rPr>
              <m:t>,</m:t>
            </m:r>
            <m:r>
              <m:rPr>
                <m:sty m:val="p"/>
              </m:rPr>
              <w:rPr>
                <w:rFonts w:hint="eastAsia" w:ascii="Cambria Math" w:hAnsi="Cambria Math"/>
              </w:rPr>
              <m:t>min</m:t>
            </m:r>
            <m:ctrlPr>
              <w:rPr>
                <w:rFonts w:ascii="Cambria Math" w:hAnsi="Cambria Math"/>
                <w:i/>
              </w:rPr>
            </m:ctrlPr>
          </m:sub>
        </m:sSub>
      </m:oMath>
      <w:r>
        <w:rPr>
          <w:rFonts w:hint="eastAsia"/>
        </w:rPr>
        <w:t>——</w:t>
      </w:r>
      <w:r>
        <w:t>某</w:t>
      </w:r>
      <m:oMath>
        <m:r>
          <m:rPr/>
          <w:rPr>
            <w:rFonts w:hint="eastAsia" w:ascii="Cambria Math" w:hAnsi="Cambria Math"/>
          </w:rPr>
          <m:t>i</m:t>
        </m:r>
      </m:oMath>
      <w:r>
        <w:t>类气象因子的最小值</w:t>
      </w:r>
      <w:r>
        <w:rPr>
          <w:rFonts w:hint="eastAsia"/>
        </w:rPr>
        <w:t>；</w:t>
      </w:r>
    </w:p>
    <w:p w14:paraId="01F5C20E">
      <w:pPr>
        <w:snapToGrid w:val="0"/>
        <w:spacing w:line="240" w:lineRule="auto"/>
        <w:ind w:firstLine="840" w:firstLineChars="400"/>
      </w:pPr>
      <m:oMath>
        <m:sSub>
          <m:sSubPr>
            <m:ctrlPr>
              <w:rPr>
                <w:rFonts w:ascii="Cambria Math" w:hAnsi="Cambria Math"/>
                <w:i/>
              </w:rPr>
            </m:ctrlPr>
          </m:sSubPr>
          <m:e>
            <m:r>
              <m:rPr/>
              <w:rPr>
                <w:rFonts w:hint="eastAsia" w:ascii="Cambria Math" w:hAnsi="Cambria Math"/>
              </w:rPr>
              <m:t>x</m:t>
            </m:r>
            <m:ctrlPr>
              <w:rPr>
                <w:rFonts w:ascii="Cambria Math" w:hAnsi="Cambria Math"/>
                <w:i/>
              </w:rPr>
            </m:ctrlPr>
          </m:e>
          <m:sub>
            <m:r>
              <m:rPr/>
              <w:rPr>
                <w:rFonts w:hint="eastAsia" w:ascii="Cambria Math" w:hAnsi="Cambria Math"/>
              </w:rPr>
              <m:t>i</m:t>
            </m:r>
            <m:r>
              <m:rPr/>
              <w:rPr>
                <w:rFonts w:ascii="Cambria Math" w:hAnsi="Cambria Math"/>
              </w:rPr>
              <m:t>,</m:t>
            </m:r>
            <m:r>
              <m:rPr>
                <m:sty m:val="p"/>
              </m:rPr>
              <w:rPr>
                <w:rFonts w:hint="eastAsia" w:ascii="Cambria Math" w:hAnsi="Cambria Math"/>
              </w:rPr>
              <m:t>m</m:t>
            </m:r>
            <m:r>
              <m:rPr>
                <m:sty m:val="p"/>
              </m:rPr>
              <w:rPr>
                <w:rFonts w:ascii="Cambria Math" w:hAnsi="Cambria Math"/>
              </w:rPr>
              <m:t>ax</m:t>
            </m:r>
            <m:ctrlPr>
              <w:rPr>
                <w:rFonts w:ascii="Cambria Math" w:hAnsi="Cambria Math"/>
                <w:i/>
              </w:rPr>
            </m:ctrlPr>
          </m:sub>
        </m:sSub>
      </m:oMath>
      <w:r>
        <w:rPr>
          <w:rFonts w:hint="eastAsia"/>
        </w:rPr>
        <w:t>——</w:t>
      </w:r>
      <w:r>
        <w:t>某</w:t>
      </w:r>
      <m:oMath>
        <m:r>
          <m:rPr/>
          <w:rPr>
            <w:rFonts w:hint="eastAsia" w:ascii="Cambria Math" w:hAnsi="Cambria Math"/>
          </w:rPr>
          <m:t>i</m:t>
        </m:r>
      </m:oMath>
      <w:r>
        <w:t>类气象因子的最大值。</w:t>
      </w:r>
    </w:p>
    <w:p w14:paraId="78008237">
      <w:pPr>
        <w:pStyle w:val="105"/>
        <w:spacing w:before="156" w:after="156"/>
        <w:ind w:left="0"/>
      </w:pPr>
      <w:bookmarkStart w:id="105" w:name="_Toc177716133"/>
      <w:bookmarkStart w:id="106" w:name="_Toc176942029"/>
      <w:bookmarkStart w:id="107" w:name="_Toc176941222"/>
      <w:bookmarkStart w:id="108" w:name="_Toc176940626"/>
      <w:bookmarkStart w:id="109" w:name="_Toc176942302"/>
      <w:r>
        <w:rPr>
          <w:rFonts w:hint="eastAsia"/>
        </w:rPr>
        <w:t>气象适宜度分级</w:t>
      </w:r>
      <w:bookmarkEnd w:id="105"/>
      <w:bookmarkEnd w:id="106"/>
      <w:bookmarkEnd w:id="107"/>
      <w:bookmarkEnd w:id="108"/>
      <w:bookmarkEnd w:id="109"/>
    </w:p>
    <w:p w14:paraId="4621421F">
      <w:pPr>
        <w:widowControl/>
        <w:snapToGrid w:val="0"/>
        <w:spacing w:line="240" w:lineRule="auto"/>
        <w:ind w:firstLine="425"/>
        <w:jc w:val="left"/>
      </w:pPr>
      <w:r>
        <w:t>根据</w:t>
      </w:r>
      <w:r>
        <w:rPr>
          <w:rFonts w:hint="eastAsia"/>
        </w:rPr>
        <w:t>公式（1</w:t>
      </w:r>
      <w:r>
        <w:t>2</w:t>
      </w:r>
      <w:r>
        <w:rPr>
          <w:rFonts w:hint="eastAsia"/>
        </w:rPr>
        <w:t>）计算得到蓝藻水华</w:t>
      </w:r>
      <w:r>
        <w:t>气象适宜度指数</w:t>
      </w:r>
      <m:oMath>
        <m:sSub>
          <m:sSubPr>
            <m:ctrlPr>
              <w:rPr>
                <w:rFonts w:ascii="Cambria Math" w:hAnsi="Cambria Math"/>
                <w:i/>
              </w:rPr>
            </m:ctrlPr>
          </m:sSubPr>
          <m:e>
            <m:r>
              <m:rPr/>
              <w:rPr>
                <w:rFonts w:ascii="Cambria Math" w:hAnsi="Cambria Math"/>
              </w:rPr>
              <m:t>I</m:t>
            </m:r>
            <m:ctrlPr>
              <w:rPr>
                <w:rFonts w:ascii="Cambria Math" w:hAnsi="Cambria Math"/>
                <w:i/>
              </w:rPr>
            </m:ctrlPr>
          </m:e>
          <m:sub>
            <m:r>
              <m:rPr>
                <m:sty m:val="p"/>
              </m:rPr>
              <w:rPr>
                <w:rFonts w:ascii="Cambria Math" w:hAnsi="Cambria Math"/>
              </w:rPr>
              <m:t>mcb</m:t>
            </m:r>
            <m:ctrlPr>
              <w:rPr>
                <w:rFonts w:ascii="Cambria Math" w:hAnsi="Cambria Math"/>
                <w:i/>
              </w:rPr>
            </m:ctrlPr>
          </m:sub>
        </m:sSub>
      </m:oMath>
      <w:r>
        <w:t>，</w:t>
      </w:r>
      <w:r>
        <w:rPr>
          <w:rFonts w:hint="eastAsia"/>
        </w:rPr>
        <w:t>采用百分位数法</w:t>
      </w:r>
      <w:r>
        <w:t>将蓝藻水华气象适宜度分为</w:t>
      </w:r>
      <w:r>
        <w:rPr>
          <w:rFonts w:hint="eastAsia"/>
        </w:rPr>
        <w:t>较</w:t>
      </w:r>
      <w:r>
        <w:t>适宜、适宜和</w:t>
      </w:r>
      <w:r>
        <w:rPr>
          <w:rFonts w:hint="eastAsia"/>
        </w:rPr>
        <w:t>非常</w:t>
      </w:r>
      <w:r>
        <w:t>适宜三级，</w:t>
      </w:r>
      <w:r>
        <w:rPr>
          <w:rFonts w:hint="eastAsia"/>
        </w:rPr>
        <w:t>分级指标</w:t>
      </w:r>
      <w:r>
        <w:t>见表</w:t>
      </w:r>
      <w:r>
        <w:rPr>
          <w:rFonts w:hint="eastAsia"/>
        </w:rPr>
        <w:t>3</w:t>
      </w:r>
      <w:r>
        <w:t>。</w:t>
      </w:r>
    </w:p>
    <w:p w14:paraId="6B23D8CA">
      <w:pPr>
        <w:pStyle w:val="112"/>
        <w:spacing w:before="156" w:after="156"/>
      </w:pPr>
      <w:r>
        <w:rPr>
          <w:rFonts w:hint="eastAsia"/>
        </w:rPr>
        <w:t>气象适宜度分级指标</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3BA5B3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shd w:val="clear" w:color="auto" w:fill="auto"/>
          </w:tcPr>
          <w:p w14:paraId="048BD53F">
            <w:pPr>
              <w:jc w:val="center"/>
            </w:pPr>
            <w:r>
              <w:rPr>
                <w:rFonts w:hint="eastAsia"/>
              </w:rPr>
              <w:t>气象适宜程度</w:t>
            </w:r>
          </w:p>
        </w:tc>
        <w:tc>
          <w:tcPr>
            <w:tcW w:w="4667" w:type="dxa"/>
            <w:tcBorders>
              <w:top w:val="single" w:color="auto" w:sz="8" w:space="0"/>
              <w:bottom w:val="single" w:color="auto" w:sz="8" w:space="0"/>
            </w:tcBorders>
            <w:shd w:val="clear" w:color="auto" w:fill="auto"/>
          </w:tcPr>
          <w:p w14:paraId="7E8D6D0B">
            <w:pPr>
              <w:jc w:val="center"/>
            </w:pPr>
            <w:r>
              <w:rPr>
                <w:sz w:val="18"/>
                <w:szCs w:val="18"/>
              </w:rPr>
              <w:t>气象适宜度指数</w:t>
            </w:r>
            <m:oMath>
              <m:sSub>
                <m:sSubPr>
                  <m:ctrlPr>
                    <w:rPr>
                      <w:rFonts w:ascii="Cambria Math" w:hAnsi="Cambria Math"/>
                      <w:i/>
                      <w:sz w:val="18"/>
                      <w:szCs w:val="18"/>
                    </w:rPr>
                  </m:ctrlPr>
                </m:sSubPr>
                <m:e>
                  <m:r>
                    <m:rPr/>
                    <w:rPr>
                      <w:rFonts w:ascii="Cambria Math" w:hAnsi="Cambria Math"/>
                      <w:sz w:val="18"/>
                      <w:szCs w:val="18"/>
                    </w:rPr>
                    <m:t>I</m:t>
                  </m:r>
                  <m:ctrlPr>
                    <w:rPr>
                      <w:rFonts w:ascii="Cambria Math" w:hAnsi="Cambria Math"/>
                      <w:i/>
                      <w:sz w:val="18"/>
                      <w:szCs w:val="18"/>
                    </w:rPr>
                  </m:ctrlPr>
                </m:e>
                <m:sub>
                  <m:r>
                    <m:rPr>
                      <m:sty m:val="p"/>
                    </m:rPr>
                    <w:rPr>
                      <w:rFonts w:ascii="Cambria Math" w:hAnsi="Cambria Math"/>
                      <w:sz w:val="18"/>
                      <w:szCs w:val="18"/>
                    </w:rPr>
                    <m:t>mcb</m:t>
                  </m:r>
                  <m:ctrlPr>
                    <w:rPr>
                      <w:rFonts w:ascii="Cambria Math" w:hAnsi="Cambria Math"/>
                      <w:i/>
                      <w:sz w:val="18"/>
                      <w:szCs w:val="18"/>
                    </w:rPr>
                  </m:ctrlPr>
                </m:sub>
              </m:sSub>
            </m:oMath>
          </w:p>
        </w:tc>
      </w:tr>
      <w:tr w14:paraId="3789F4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shd w:val="clear" w:color="auto" w:fill="auto"/>
          </w:tcPr>
          <w:p w14:paraId="4AF58C10">
            <w:pPr>
              <w:jc w:val="center"/>
            </w:pPr>
            <w:r>
              <w:rPr>
                <w:rFonts w:hint="eastAsia"/>
              </w:rPr>
              <w:t>较适宜</w:t>
            </w:r>
          </w:p>
        </w:tc>
        <w:tc>
          <w:tcPr>
            <w:tcW w:w="4667" w:type="dxa"/>
            <w:tcBorders>
              <w:top w:val="single" w:color="auto" w:sz="8" w:space="0"/>
            </w:tcBorders>
            <w:shd w:val="clear" w:color="auto" w:fill="auto"/>
            <w:vAlign w:val="center"/>
          </w:tcPr>
          <w:p w14:paraId="7B79A700">
            <w:pPr>
              <w:snapToGrid w:val="0"/>
              <w:spacing w:line="360" w:lineRule="auto"/>
              <w:jc w:val="center"/>
              <w:rPr>
                <w:sz w:val="18"/>
                <w:szCs w:val="18"/>
              </w:rPr>
            </w:pPr>
            <w:r>
              <w:rPr>
                <w:sz w:val="18"/>
                <w:szCs w:val="18"/>
              </w:rPr>
              <w:t>-1.00＜</w:t>
            </w:r>
            <m:oMath>
              <m:sSub>
                <m:sSubPr>
                  <m:ctrlPr>
                    <w:rPr>
                      <w:rFonts w:ascii="Cambria Math" w:hAnsi="Cambria Math"/>
                      <w:i/>
                      <w:sz w:val="18"/>
                      <w:szCs w:val="18"/>
                    </w:rPr>
                  </m:ctrlPr>
                </m:sSubPr>
                <m:e>
                  <m:r>
                    <m:rPr/>
                    <w:rPr>
                      <w:rFonts w:ascii="Cambria Math" w:hAnsi="Cambria Math"/>
                      <w:sz w:val="18"/>
                      <w:szCs w:val="18"/>
                    </w:rPr>
                    <m:t>I</m:t>
                  </m:r>
                  <m:ctrlPr>
                    <w:rPr>
                      <w:rFonts w:ascii="Cambria Math" w:hAnsi="Cambria Math"/>
                      <w:i/>
                      <w:sz w:val="18"/>
                      <w:szCs w:val="18"/>
                    </w:rPr>
                  </m:ctrlPr>
                </m:e>
                <m:sub>
                  <m:r>
                    <m:rPr>
                      <m:sty m:val="p"/>
                    </m:rPr>
                    <w:rPr>
                      <w:rFonts w:ascii="Cambria Math" w:hAnsi="Cambria Math"/>
                      <w:sz w:val="18"/>
                      <w:szCs w:val="18"/>
                    </w:rPr>
                    <m:t>mcb</m:t>
                  </m:r>
                  <m:ctrlPr>
                    <w:rPr>
                      <w:rFonts w:ascii="Cambria Math" w:hAnsi="Cambria Math"/>
                      <w:i/>
                      <w:sz w:val="18"/>
                      <w:szCs w:val="18"/>
                    </w:rPr>
                  </m:ctrlPr>
                </m:sub>
              </m:sSub>
            </m:oMath>
            <w:r>
              <w:rPr>
                <w:rFonts w:hint="eastAsia" w:ascii="Cambria Math" w:hAnsi="Cambria Math"/>
                <w:i/>
                <w:sz w:val="18"/>
                <w:szCs w:val="18"/>
              </w:rPr>
              <w:t>≤</w:t>
            </w:r>
            <w:r>
              <w:rPr>
                <w:sz w:val="18"/>
                <w:szCs w:val="18"/>
              </w:rPr>
              <w:t>-0.09</w:t>
            </w:r>
          </w:p>
        </w:tc>
      </w:tr>
      <w:tr w14:paraId="53A494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tcPr>
          <w:p w14:paraId="037199DA">
            <w:pPr>
              <w:jc w:val="center"/>
            </w:pPr>
            <w:r>
              <w:rPr>
                <w:rFonts w:hint="eastAsia"/>
              </w:rPr>
              <w:t>适宜</w:t>
            </w:r>
          </w:p>
        </w:tc>
        <w:tc>
          <w:tcPr>
            <w:tcW w:w="4667" w:type="dxa"/>
            <w:shd w:val="clear" w:color="auto" w:fill="auto"/>
            <w:vAlign w:val="center"/>
          </w:tcPr>
          <w:p w14:paraId="2011A7DD">
            <w:pPr>
              <w:snapToGrid w:val="0"/>
              <w:spacing w:line="360" w:lineRule="auto"/>
              <w:jc w:val="center"/>
              <w:rPr>
                <w:sz w:val="18"/>
                <w:szCs w:val="18"/>
              </w:rPr>
            </w:pPr>
            <w:r>
              <w:rPr>
                <w:sz w:val="18"/>
                <w:szCs w:val="18"/>
              </w:rPr>
              <w:t>-0.09＜</w:t>
            </w:r>
            <m:oMath>
              <m:sSub>
                <m:sSubPr>
                  <m:ctrlPr>
                    <w:rPr>
                      <w:rFonts w:ascii="Cambria Math" w:hAnsi="Cambria Math"/>
                      <w:i/>
                      <w:sz w:val="18"/>
                      <w:szCs w:val="18"/>
                    </w:rPr>
                  </m:ctrlPr>
                </m:sSubPr>
                <m:e>
                  <m:r>
                    <m:rPr/>
                    <w:rPr>
                      <w:rFonts w:ascii="Cambria Math" w:hAnsi="Cambria Math"/>
                      <w:sz w:val="18"/>
                      <w:szCs w:val="18"/>
                    </w:rPr>
                    <m:t>I</m:t>
                  </m:r>
                  <m:ctrlPr>
                    <w:rPr>
                      <w:rFonts w:ascii="Cambria Math" w:hAnsi="Cambria Math"/>
                      <w:i/>
                      <w:sz w:val="18"/>
                      <w:szCs w:val="18"/>
                    </w:rPr>
                  </m:ctrlPr>
                </m:e>
                <m:sub>
                  <m:r>
                    <m:rPr>
                      <m:sty m:val="p"/>
                    </m:rPr>
                    <w:rPr>
                      <w:rFonts w:ascii="Cambria Math" w:hAnsi="Cambria Math"/>
                      <w:sz w:val="18"/>
                      <w:szCs w:val="18"/>
                    </w:rPr>
                    <m:t>mcb</m:t>
                  </m:r>
                  <m:ctrlPr>
                    <w:rPr>
                      <w:rFonts w:ascii="Cambria Math" w:hAnsi="Cambria Math"/>
                      <w:i/>
                      <w:sz w:val="18"/>
                      <w:szCs w:val="18"/>
                    </w:rPr>
                  </m:ctrlPr>
                </m:sub>
              </m:sSub>
            </m:oMath>
            <w:r>
              <w:rPr>
                <w:rFonts w:hint="eastAsia" w:ascii="Cambria Math" w:hAnsi="Cambria Math"/>
                <w:i/>
                <w:sz w:val="18"/>
                <w:szCs w:val="18"/>
              </w:rPr>
              <w:t>≤</w:t>
            </w:r>
            <w:r>
              <w:rPr>
                <w:sz w:val="18"/>
                <w:szCs w:val="18"/>
              </w:rPr>
              <w:t>0.17</w:t>
            </w:r>
          </w:p>
        </w:tc>
      </w:tr>
      <w:tr w14:paraId="7E3567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tcPr>
          <w:p w14:paraId="706D36C7">
            <w:pPr>
              <w:jc w:val="center"/>
            </w:pPr>
            <w:r>
              <w:rPr>
                <w:rFonts w:hint="eastAsia"/>
              </w:rPr>
              <w:t>非常适宜</w:t>
            </w:r>
          </w:p>
        </w:tc>
        <w:tc>
          <w:tcPr>
            <w:tcW w:w="4667" w:type="dxa"/>
            <w:shd w:val="clear" w:color="auto" w:fill="auto"/>
            <w:vAlign w:val="center"/>
          </w:tcPr>
          <w:p w14:paraId="1C46749C">
            <w:pPr>
              <w:snapToGrid w:val="0"/>
              <w:spacing w:line="360" w:lineRule="auto"/>
              <w:jc w:val="center"/>
              <w:rPr>
                <w:sz w:val="18"/>
                <w:szCs w:val="18"/>
              </w:rPr>
            </w:pPr>
            <w:r>
              <w:rPr>
                <w:sz w:val="18"/>
                <w:szCs w:val="18"/>
              </w:rPr>
              <w:t>0.17＜</w:t>
            </w:r>
            <m:oMath>
              <m:sSub>
                <m:sSubPr>
                  <m:ctrlPr>
                    <w:rPr>
                      <w:rFonts w:ascii="Cambria Math" w:hAnsi="Cambria Math"/>
                      <w:i/>
                      <w:sz w:val="18"/>
                      <w:szCs w:val="18"/>
                    </w:rPr>
                  </m:ctrlPr>
                </m:sSubPr>
                <m:e>
                  <m:r>
                    <m:rPr/>
                    <w:rPr>
                      <w:rFonts w:ascii="Cambria Math" w:hAnsi="Cambria Math"/>
                      <w:sz w:val="18"/>
                      <w:szCs w:val="18"/>
                    </w:rPr>
                    <m:t>I</m:t>
                  </m:r>
                  <m:ctrlPr>
                    <w:rPr>
                      <w:rFonts w:ascii="Cambria Math" w:hAnsi="Cambria Math"/>
                      <w:i/>
                      <w:sz w:val="18"/>
                      <w:szCs w:val="18"/>
                    </w:rPr>
                  </m:ctrlPr>
                </m:e>
                <m:sub>
                  <m:r>
                    <m:rPr>
                      <m:sty m:val="p"/>
                    </m:rPr>
                    <w:rPr>
                      <w:rFonts w:ascii="Cambria Math" w:hAnsi="Cambria Math"/>
                      <w:sz w:val="18"/>
                      <w:szCs w:val="18"/>
                    </w:rPr>
                    <m:t>mcb</m:t>
                  </m:r>
                  <m:ctrlPr>
                    <w:rPr>
                      <w:rFonts w:ascii="Cambria Math" w:hAnsi="Cambria Math"/>
                      <w:i/>
                      <w:sz w:val="18"/>
                      <w:szCs w:val="18"/>
                    </w:rPr>
                  </m:ctrlPr>
                </m:sub>
              </m:sSub>
            </m:oMath>
            <w:r>
              <w:rPr>
                <w:rFonts w:hint="eastAsia" w:ascii="Cambria Math" w:hAnsi="Cambria Math"/>
                <w:i/>
                <w:sz w:val="18"/>
                <w:szCs w:val="18"/>
              </w:rPr>
              <w:t>≤</w:t>
            </w:r>
            <w:r>
              <w:rPr>
                <w:sz w:val="18"/>
                <w:szCs w:val="18"/>
              </w:rPr>
              <w:t>1.00</w:t>
            </w:r>
          </w:p>
        </w:tc>
      </w:tr>
    </w:tbl>
    <w:p w14:paraId="157E5F2E">
      <w:pPr>
        <w:pStyle w:val="105"/>
        <w:spacing w:before="156" w:after="156"/>
        <w:ind w:left="0"/>
      </w:pPr>
      <w:bookmarkStart w:id="110" w:name="_Toc176940627"/>
      <w:bookmarkStart w:id="111" w:name="_Toc176941223"/>
      <w:bookmarkStart w:id="112" w:name="_Toc177716134"/>
      <w:bookmarkStart w:id="113" w:name="_Toc176942303"/>
      <w:bookmarkStart w:id="114" w:name="_Toc176942030"/>
      <w:r>
        <w:rPr>
          <w:rFonts w:hint="eastAsia"/>
        </w:rPr>
        <w:t>蓝藻水华环境气象影响评估</w:t>
      </w:r>
      <w:bookmarkEnd w:id="110"/>
      <w:bookmarkEnd w:id="111"/>
      <w:bookmarkEnd w:id="112"/>
      <w:bookmarkEnd w:id="113"/>
      <w:bookmarkEnd w:id="114"/>
    </w:p>
    <w:p w14:paraId="3CA3EE4C">
      <w:pPr>
        <w:widowControl/>
        <w:snapToGrid w:val="0"/>
        <w:spacing w:line="240" w:lineRule="auto"/>
        <w:ind w:firstLine="425"/>
        <w:jc w:val="left"/>
      </w:pPr>
      <w:r>
        <w:rPr>
          <w:rFonts w:hint="eastAsia"/>
        </w:rPr>
        <w:t>统计一定时间尺度（年、季、月等）内的6种气象因子并计算得到</w:t>
      </w:r>
      <w:r>
        <w:t>气象适宜度指数</w:t>
      </w:r>
      <m:oMath>
        <m:sSub>
          <m:sSubPr>
            <m:ctrlPr>
              <w:rPr>
                <w:rFonts w:ascii="Cambria Math" w:hAnsi="Cambria Math"/>
                <w:i/>
              </w:rPr>
            </m:ctrlPr>
          </m:sSubPr>
          <m:e>
            <m:r>
              <m:rPr/>
              <w:rPr>
                <w:rFonts w:ascii="Cambria Math" w:hAnsi="Cambria Math"/>
              </w:rPr>
              <m:t>I</m:t>
            </m:r>
            <m:ctrlPr>
              <w:rPr>
                <w:rFonts w:ascii="Cambria Math" w:hAnsi="Cambria Math"/>
                <w:i/>
              </w:rPr>
            </m:ctrlPr>
          </m:e>
          <m:sub>
            <m:r>
              <m:rPr>
                <m:sty m:val="p"/>
              </m:rPr>
              <w:rPr>
                <w:rFonts w:ascii="Cambria Math" w:hAnsi="Cambria Math"/>
              </w:rPr>
              <m:t>mcb</m:t>
            </m:r>
            <m:ctrlPr>
              <w:rPr>
                <w:rFonts w:ascii="Cambria Math" w:hAnsi="Cambria Math"/>
                <w:i/>
              </w:rPr>
            </m:ctrlPr>
          </m:sub>
        </m:sSub>
      </m:oMath>
      <w:r>
        <w:t>，</w:t>
      </w:r>
      <w:r>
        <w:rPr>
          <w:rFonts w:hint="eastAsia"/>
        </w:rPr>
        <w:t>根据分级指标判定环境气象条件对蓝藻水华的适宜程度。具体评估方法如下：</w:t>
      </w:r>
    </w:p>
    <w:p w14:paraId="0A13C007">
      <w:pPr>
        <w:widowControl/>
        <w:snapToGrid w:val="0"/>
        <w:spacing w:line="240" w:lineRule="auto"/>
        <w:ind w:firstLine="425"/>
        <w:jc w:val="left"/>
      </w:pPr>
      <w:r>
        <w:rPr>
          <w:rFonts w:hint="eastAsia"/>
        </w:rPr>
        <w:t>1）当</w:t>
      </w:r>
      <w:r>
        <w:t>-1.00＜</w:t>
      </w:r>
      <m:oMath>
        <m:sSub>
          <m:sSubPr>
            <m:ctrlPr>
              <w:rPr>
                <w:rFonts w:ascii="Cambria Math" w:hAnsi="Cambria Math"/>
                <w:i/>
              </w:rPr>
            </m:ctrlPr>
          </m:sSubPr>
          <m:e>
            <m:r>
              <m:rPr/>
              <w:rPr>
                <w:rFonts w:ascii="Cambria Math" w:hAnsi="Cambria Math"/>
              </w:rPr>
              <m:t>I</m:t>
            </m:r>
            <m:ctrlPr>
              <w:rPr>
                <w:rFonts w:ascii="Cambria Math" w:hAnsi="Cambria Math"/>
                <w:i/>
              </w:rPr>
            </m:ctrlPr>
          </m:e>
          <m:sub>
            <m:r>
              <m:rPr>
                <m:sty m:val="p"/>
              </m:rPr>
              <w:rPr>
                <w:rFonts w:ascii="Cambria Math" w:hAnsi="Cambria Math"/>
              </w:rPr>
              <m:t>mcb</m:t>
            </m:r>
            <m:ctrlPr>
              <w:rPr>
                <w:rFonts w:ascii="Cambria Math" w:hAnsi="Cambria Math"/>
                <w:i/>
              </w:rPr>
            </m:ctrlPr>
          </m:sub>
        </m:sSub>
      </m:oMath>
      <w:r>
        <w:rPr>
          <w:rFonts w:hint="eastAsia"/>
        </w:rPr>
        <w:t>≤</w:t>
      </w:r>
      <w:r>
        <w:t>-0.09</w:t>
      </w:r>
      <w:r>
        <w:rPr>
          <w:rFonts w:hint="eastAsia"/>
        </w:rPr>
        <w:t>时，环境气象条件为“较适宜”；</w:t>
      </w:r>
    </w:p>
    <w:p w14:paraId="5A70A030">
      <w:pPr>
        <w:widowControl/>
        <w:snapToGrid w:val="0"/>
        <w:spacing w:line="240" w:lineRule="auto"/>
        <w:ind w:firstLine="425"/>
        <w:jc w:val="left"/>
      </w:pPr>
      <w:r>
        <w:rPr>
          <w:rFonts w:hint="eastAsia"/>
        </w:rPr>
        <w:t>2）当</w:t>
      </w:r>
      <w:r>
        <w:t>-0.09＜</w:t>
      </w:r>
      <m:oMath>
        <m:sSub>
          <m:sSubPr>
            <m:ctrlPr>
              <w:rPr>
                <w:rFonts w:ascii="Cambria Math" w:hAnsi="Cambria Math"/>
                <w:i/>
              </w:rPr>
            </m:ctrlPr>
          </m:sSubPr>
          <m:e>
            <m:r>
              <m:rPr/>
              <w:rPr>
                <w:rFonts w:ascii="Cambria Math" w:hAnsi="Cambria Math"/>
              </w:rPr>
              <m:t>I</m:t>
            </m:r>
            <m:ctrlPr>
              <w:rPr>
                <w:rFonts w:ascii="Cambria Math" w:hAnsi="Cambria Math"/>
                <w:i/>
              </w:rPr>
            </m:ctrlPr>
          </m:e>
          <m:sub>
            <m:r>
              <m:rPr>
                <m:sty m:val="p"/>
              </m:rPr>
              <w:rPr>
                <w:rFonts w:ascii="Cambria Math" w:hAnsi="Cambria Math"/>
              </w:rPr>
              <m:t>mc</m:t>
            </m:r>
            <m:r>
              <m:rPr/>
              <w:rPr>
                <w:rFonts w:ascii="Cambria Math" w:hAnsi="Cambria Math"/>
              </w:rPr>
              <m:t>b</m:t>
            </m:r>
            <m:ctrlPr>
              <w:rPr>
                <w:rFonts w:ascii="Cambria Math" w:hAnsi="Cambria Math"/>
                <w:i/>
              </w:rPr>
            </m:ctrlPr>
          </m:sub>
        </m:sSub>
      </m:oMath>
      <w:r>
        <w:rPr>
          <w:rFonts w:hint="eastAsia"/>
        </w:rPr>
        <w:t>≤</w:t>
      </w:r>
      <w:r>
        <w:t>0.17</w:t>
      </w:r>
      <w:r>
        <w:rPr>
          <w:rFonts w:hint="eastAsia"/>
        </w:rPr>
        <w:t>时，环境气象条件为“适宜”；</w:t>
      </w:r>
    </w:p>
    <w:p w14:paraId="69621F3E">
      <w:pPr>
        <w:widowControl/>
        <w:snapToGrid w:val="0"/>
        <w:spacing w:line="240" w:lineRule="auto"/>
        <w:ind w:firstLine="425"/>
        <w:jc w:val="left"/>
      </w:pPr>
      <w:r>
        <w:rPr>
          <w:rFonts w:hint="eastAsia"/>
        </w:rPr>
        <w:t>3）当</w:t>
      </w:r>
      <w:r>
        <w:t>0.17</w:t>
      </w:r>
      <w:r>
        <w:rPr>
          <w:rFonts w:hint="eastAsia"/>
        </w:rPr>
        <w:t>＜</w:t>
      </w:r>
      <m:oMath>
        <m:sSub>
          <m:sSubPr>
            <m:ctrlPr>
              <w:rPr>
                <w:rFonts w:ascii="Cambria Math" w:hAnsi="Cambria Math"/>
                <w:i/>
              </w:rPr>
            </m:ctrlPr>
          </m:sSubPr>
          <m:e>
            <m:r>
              <m:rPr/>
              <w:rPr>
                <w:rFonts w:ascii="Cambria Math" w:hAnsi="Cambria Math"/>
              </w:rPr>
              <m:t>I</m:t>
            </m:r>
            <m:ctrlPr>
              <w:rPr>
                <w:rFonts w:ascii="Cambria Math" w:hAnsi="Cambria Math"/>
                <w:i/>
              </w:rPr>
            </m:ctrlPr>
          </m:e>
          <m:sub>
            <m:r>
              <m:rPr>
                <m:sty m:val="p"/>
              </m:rPr>
              <w:rPr>
                <w:rFonts w:ascii="Cambria Math" w:hAnsi="Cambria Math"/>
              </w:rPr>
              <m:t>mcb</m:t>
            </m:r>
            <m:ctrlPr>
              <w:rPr>
                <w:rFonts w:ascii="Cambria Math" w:hAnsi="Cambria Math"/>
                <w:i/>
              </w:rPr>
            </m:ctrlPr>
          </m:sub>
        </m:sSub>
      </m:oMath>
      <w:r>
        <w:rPr>
          <w:rFonts w:hint="eastAsia"/>
        </w:rPr>
        <w:t>≤1.</w:t>
      </w:r>
      <w:r>
        <w:t>00</w:t>
      </w:r>
      <w:r>
        <w:rPr>
          <w:rFonts w:hint="eastAsia"/>
        </w:rPr>
        <w:t>时，环境气象条件为“非常适宜”。</w:t>
      </w:r>
    </w:p>
    <w:p w14:paraId="5B7C5607">
      <w:pPr>
        <w:widowControl/>
        <w:snapToGrid w:val="0"/>
        <w:spacing w:line="240" w:lineRule="auto"/>
        <w:ind w:firstLine="425"/>
        <w:jc w:val="left"/>
      </w:pPr>
      <w:r>
        <w:rPr>
          <w:rFonts w:hint="eastAsia"/>
        </w:rPr>
        <w:t>根据蓝藻水华环境气象影响评估结果，按照附录A提出相应的蓝藻水华应急防控措施建议。</w:t>
      </w:r>
    </w:p>
    <w:p w14:paraId="5BEB2D97">
      <w:pPr>
        <w:pStyle w:val="56"/>
        <w:ind w:firstLine="420"/>
        <w:sectPr>
          <w:pgSz w:w="11906" w:h="16838"/>
          <w:pgMar w:top="1928" w:right="1134" w:bottom="1134" w:left="1134" w:header="1418" w:footer="1134" w:gutter="284"/>
          <w:pgNumType w:start="1"/>
          <w:cols w:space="425" w:num="1"/>
          <w:formProt w:val="0"/>
          <w:docGrid w:type="lines" w:linePitch="312" w:charSpace="0"/>
        </w:sectPr>
      </w:pPr>
    </w:p>
    <w:bookmarkEnd w:id="28"/>
    <w:p w14:paraId="280C5EED">
      <w:pPr>
        <w:pStyle w:val="198"/>
        <w:rPr>
          <w:vanish w:val="0"/>
        </w:rPr>
      </w:pPr>
      <w:bookmarkStart w:id="115" w:name="BookMark5"/>
    </w:p>
    <w:p w14:paraId="1F5FCC5B">
      <w:pPr>
        <w:pStyle w:val="199"/>
        <w:rPr>
          <w:vanish w:val="0"/>
        </w:rPr>
      </w:pPr>
    </w:p>
    <w:p w14:paraId="26125719">
      <w:pPr>
        <w:pStyle w:val="76"/>
        <w:spacing w:after="156"/>
      </w:pPr>
      <w:r>
        <w:br w:type="textWrapping"/>
      </w:r>
      <w:bookmarkStart w:id="116" w:name="_Toc177716135"/>
      <w:bookmarkStart w:id="117" w:name="_Toc176942304"/>
      <w:r>
        <w:rPr>
          <w:rFonts w:hint="eastAsia"/>
        </w:rPr>
        <w:t>（资料性）</w:t>
      </w:r>
      <w:bookmarkEnd w:id="116"/>
      <w:bookmarkEnd w:id="117"/>
    </w:p>
    <w:p w14:paraId="6CDB3D16">
      <w:pPr>
        <w:pStyle w:val="77"/>
        <w:spacing w:before="156" w:after="156"/>
      </w:pPr>
      <w:r>
        <w:rPr>
          <w:rFonts w:hint="eastAsia"/>
        </w:rPr>
        <w:t>应急防控措施建议</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4932E6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3110" w:type="dxa"/>
            <w:tcBorders>
              <w:top w:val="single" w:color="auto" w:sz="8" w:space="0"/>
              <w:bottom w:val="single" w:color="auto" w:sz="8" w:space="0"/>
            </w:tcBorders>
            <w:shd w:val="clear" w:color="auto" w:fill="auto"/>
            <w:vAlign w:val="center"/>
          </w:tcPr>
          <w:p w14:paraId="31814466">
            <w:pPr>
              <w:widowControl/>
              <w:snapToGrid w:val="0"/>
              <w:spacing w:line="360" w:lineRule="auto"/>
              <w:jc w:val="center"/>
              <w:rPr>
                <w:sz w:val="18"/>
                <w:szCs w:val="18"/>
              </w:rPr>
            </w:pPr>
            <w:r>
              <w:rPr>
                <w:rFonts w:hint="eastAsia"/>
                <w:sz w:val="18"/>
                <w:szCs w:val="18"/>
              </w:rPr>
              <w:t>气象适宜度评估等级</w:t>
            </w:r>
          </w:p>
        </w:tc>
        <w:tc>
          <w:tcPr>
            <w:tcW w:w="3112" w:type="dxa"/>
            <w:tcBorders>
              <w:top w:val="single" w:color="auto" w:sz="8" w:space="0"/>
              <w:bottom w:val="single" w:color="auto" w:sz="8" w:space="0"/>
            </w:tcBorders>
            <w:shd w:val="clear" w:color="auto" w:fill="auto"/>
            <w:vAlign w:val="center"/>
          </w:tcPr>
          <w:p w14:paraId="77A64C8F">
            <w:pPr>
              <w:widowControl/>
              <w:snapToGrid w:val="0"/>
              <w:spacing w:line="360" w:lineRule="auto"/>
              <w:jc w:val="center"/>
              <w:rPr>
                <w:sz w:val="18"/>
                <w:szCs w:val="18"/>
              </w:rPr>
            </w:pPr>
            <w:r>
              <w:rPr>
                <w:rFonts w:hint="eastAsia"/>
                <w:sz w:val="18"/>
                <w:szCs w:val="18"/>
              </w:rPr>
              <w:t>蓝藻水华潜在风险</w:t>
            </w:r>
          </w:p>
        </w:tc>
        <w:tc>
          <w:tcPr>
            <w:tcW w:w="3112" w:type="dxa"/>
            <w:tcBorders>
              <w:top w:val="single" w:color="auto" w:sz="8" w:space="0"/>
              <w:bottom w:val="single" w:color="auto" w:sz="8" w:space="0"/>
            </w:tcBorders>
            <w:shd w:val="clear" w:color="auto" w:fill="auto"/>
            <w:vAlign w:val="center"/>
          </w:tcPr>
          <w:p w14:paraId="13B1E4D4">
            <w:pPr>
              <w:widowControl/>
              <w:snapToGrid w:val="0"/>
              <w:spacing w:line="360" w:lineRule="auto"/>
              <w:jc w:val="center"/>
              <w:rPr>
                <w:sz w:val="18"/>
                <w:szCs w:val="18"/>
              </w:rPr>
            </w:pPr>
            <w:r>
              <w:rPr>
                <w:rFonts w:hint="eastAsia"/>
                <w:sz w:val="18"/>
                <w:szCs w:val="18"/>
              </w:rPr>
              <w:t>应急防控措施建议</w:t>
            </w:r>
          </w:p>
        </w:tc>
      </w:tr>
      <w:tr w14:paraId="2614A7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vAlign w:val="center"/>
          </w:tcPr>
          <w:p w14:paraId="3F2B3D61">
            <w:pPr>
              <w:widowControl/>
              <w:snapToGrid w:val="0"/>
              <w:spacing w:line="360" w:lineRule="auto"/>
              <w:jc w:val="center"/>
              <w:rPr>
                <w:sz w:val="18"/>
                <w:szCs w:val="18"/>
              </w:rPr>
            </w:pPr>
            <w:r>
              <w:rPr>
                <w:rFonts w:hint="eastAsia"/>
                <w:sz w:val="18"/>
                <w:szCs w:val="18"/>
              </w:rPr>
              <w:t>较适宜</w:t>
            </w:r>
          </w:p>
        </w:tc>
        <w:tc>
          <w:tcPr>
            <w:tcW w:w="3112" w:type="dxa"/>
            <w:tcBorders>
              <w:top w:val="single" w:color="auto" w:sz="8" w:space="0"/>
            </w:tcBorders>
            <w:shd w:val="clear" w:color="auto" w:fill="auto"/>
            <w:vAlign w:val="center"/>
          </w:tcPr>
          <w:p w14:paraId="018DF78A">
            <w:pPr>
              <w:widowControl/>
              <w:snapToGrid w:val="0"/>
              <w:spacing w:line="360" w:lineRule="auto"/>
              <w:jc w:val="left"/>
              <w:rPr>
                <w:sz w:val="18"/>
                <w:szCs w:val="18"/>
              </w:rPr>
            </w:pPr>
            <w:r>
              <w:rPr>
                <w:rFonts w:hint="eastAsia"/>
                <w:sz w:val="18"/>
                <w:szCs w:val="18"/>
              </w:rPr>
              <w:t>蓝藻水华强度等级可达轻度，以小面积蓝藻聚集为主</w:t>
            </w:r>
          </w:p>
        </w:tc>
        <w:tc>
          <w:tcPr>
            <w:tcW w:w="3112" w:type="dxa"/>
            <w:tcBorders>
              <w:top w:val="single" w:color="auto" w:sz="8" w:space="0"/>
            </w:tcBorders>
            <w:shd w:val="clear" w:color="auto" w:fill="auto"/>
            <w:vAlign w:val="center"/>
          </w:tcPr>
          <w:p w14:paraId="7C66EFCC">
            <w:pPr>
              <w:widowControl/>
              <w:snapToGrid w:val="0"/>
              <w:spacing w:line="360" w:lineRule="auto"/>
              <w:jc w:val="left"/>
              <w:rPr>
                <w:sz w:val="18"/>
                <w:szCs w:val="18"/>
              </w:rPr>
            </w:pPr>
            <w:r>
              <w:rPr>
                <w:rFonts w:hint="eastAsia"/>
                <w:sz w:val="18"/>
                <w:szCs w:val="18"/>
              </w:rPr>
              <w:t>常规监测预警和打捞，在饮用水源地做好围挡隔离</w:t>
            </w:r>
          </w:p>
        </w:tc>
      </w:tr>
      <w:tr w14:paraId="012EEB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14:paraId="294DC3C8">
            <w:pPr>
              <w:widowControl/>
              <w:snapToGrid w:val="0"/>
              <w:spacing w:line="360" w:lineRule="auto"/>
              <w:jc w:val="center"/>
              <w:rPr>
                <w:sz w:val="18"/>
                <w:szCs w:val="18"/>
              </w:rPr>
            </w:pPr>
            <w:r>
              <w:rPr>
                <w:rFonts w:hint="eastAsia"/>
                <w:sz w:val="18"/>
                <w:szCs w:val="18"/>
              </w:rPr>
              <w:t>适宜</w:t>
            </w:r>
          </w:p>
        </w:tc>
        <w:tc>
          <w:tcPr>
            <w:tcW w:w="3112" w:type="dxa"/>
            <w:shd w:val="clear" w:color="auto" w:fill="auto"/>
            <w:vAlign w:val="center"/>
          </w:tcPr>
          <w:p w14:paraId="19C1FEDF">
            <w:pPr>
              <w:widowControl/>
              <w:snapToGrid w:val="0"/>
              <w:spacing w:line="360" w:lineRule="auto"/>
              <w:jc w:val="left"/>
              <w:rPr>
                <w:sz w:val="18"/>
                <w:szCs w:val="18"/>
              </w:rPr>
            </w:pPr>
            <w:r>
              <w:rPr>
                <w:rFonts w:hint="eastAsia"/>
                <w:sz w:val="18"/>
                <w:szCs w:val="18"/>
              </w:rPr>
              <w:t>蓝藻水华强度等级可达中度，以中小面积蓝藻聚集为主，有大面积聚集暴发的可能性</w:t>
            </w:r>
          </w:p>
        </w:tc>
        <w:tc>
          <w:tcPr>
            <w:tcW w:w="3112" w:type="dxa"/>
            <w:shd w:val="clear" w:color="auto" w:fill="auto"/>
            <w:vAlign w:val="center"/>
          </w:tcPr>
          <w:p w14:paraId="7E617E65">
            <w:pPr>
              <w:widowControl/>
              <w:snapToGrid w:val="0"/>
              <w:spacing w:line="360" w:lineRule="auto"/>
              <w:jc w:val="left"/>
              <w:rPr>
                <w:sz w:val="18"/>
                <w:szCs w:val="18"/>
              </w:rPr>
            </w:pPr>
            <w:r>
              <w:rPr>
                <w:rFonts w:hint="eastAsia"/>
                <w:sz w:val="18"/>
                <w:szCs w:val="18"/>
              </w:rPr>
              <w:t>加强监测预警和打捞，适时巡查，在重点湖区和饮用水源地做好围挡隔离、曝气增氧</w:t>
            </w:r>
          </w:p>
        </w:tc>
      </w:tr>
      <w:tr w14:paraId="53B378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14:paraId="5EFB56A4">
            <w:pPr>
              <w:widowControl/>
              <w:snapToGrid w:val="0"/>
              <w:spacing w:line="360" w:lineRule="auto"/>
              <w:jc w:val="center"/>
              <w:rPr>
                <w:sz w:val="18"/>
                <w:szCs w:val="18"/>
              </w:rPr>
            </w:pPr>
            <w:r>
              <w:rPr>
                <w:rFonts w:hint="eastAsia"/>
                <w:sz w:val="18"/>
                <w:szCs w:val="18"/>
              </w:rPr>
              <w:t>非常适宜</w:t>
            </w:r>
          </w:p>
        </w:tc>
        <w:tc>
          <w:tcPr>
            <w:tcW w:w="3112" w:type="dxa"/>
            <w:shd w:val="clear" w:color="auto" w:fill="auto"/>
            <w:vAlign w:val="center"/>
          </w:tcPr>
          <w:p w14:paraId="1556A69F">
            <w:pPr>
              <w:widowControl/>
              <w:snapToGrid w:val="0"/>
              <w:spacing w:line="360" w:lineRule="auto"/>
              <w:jc w:val="left"/>
              <w:rPr>
                <w:sz w:val="18"/>
                <w:szCs w:val="18"/>
              </w:rPr>
            </w:pPr>
            <w:r>
              <w:rPr>
                <w:rFonts w:hint="eastAsia"/>
                <w:sz w:val="18"/>
                <w:szCs w:val="18"/>
              </w:rPr>
              <w:t>蓝藻水华强度等级可达重度，大面积聚集暴发的可能性大，且存在发生湖泛风险</w:t>
            </w:r>
          </w:p>
        </w:tc>
        <w:tc>
          <w:tcPr>
            <w:tcW w:w="3112" w:type="dxa"/>
            <w:shd w:val="clear" w:color="auto" w:fill="auto"/>
            <w:vAlign w:val="center"/>
          </w:tcPr>
          <w:p w14:paraId="51F98560">
            <w:pPr>
              <w:widowControl/>
              <w:snapToGrid w:val="0"/>
              <w:spacing w:line="360" w:lineRule="auto"/>
              <w:jc w:val="left"/>
              <w:rPr>
                <w:sz w:val="18"/>
                <w:szCs w:val="18"/>
              </w:rPr>
            </w:pPr>
            <w:r>
              <w:rPr>
                <w:rFonts w:hint="eastAsia"/>
                <w:sz w:val="18"/>
                <w:szCs w:val="18"/>
              </w:rPr>
              <w:t xml:space="preserve">强化各项应急措施，加密监测预警、巡查和打捞，在重点湖区和饮用水源地做好围挡隔离、曝气增氧和应急清淤，调水引流，适时开展人工増雨作业    </w:t>
            </w:r>
          </w:p>
        </w:tc>
      </w:tr>
    </w:tbl>
    <w:p w14:paraId="7B73BACA">
      <w:pPr>
        <w:pStyle w:val="56"/>
        <w:ind w:firstLine="420"/>
      </w:pPr>
    </w:p>
    <w:p w14:paraId="67DE33C7">
      <w:pPr>
        <w:pStyle w:val="56"/>
        <w:ind w:firstLine="420"/>
      </w:pPr>
    </w:p>
    <w:p w14:paraId="06B835F4">
      <w:pPr>
        <w:pStyle w:val="56"/>
        <w:ind w:firstLine="420"/>
        <w:sectPr>
          <w:pgSz w:w="11906" w:h="16838"/>
          <w:pgMar w:top="1928" w:right="1134" w:bottom="1134" w:left="1134" w:header="1418" w:footer="1134" w:gutter="284"/>
          <w:cols w:space="425" w:num="1"/>
          <w:formProt w:val="0"/>
          <w:docGrid w:type="lines" w:linePitch="312" w:charSpace="0"/>
        </w:sectPr>
      </w:pPr>
    </w:p>
    <w:p w14:paraId="2829EFE3">
      <w:pPr>
        <w:pStyle w:val="198"/>
        <w:rPr>
          <w:vanish w:val="0"/>
        </w:rPr>
      </w:pPr>
    </w:p>
    <w:p w14:paraId="10F454A9">
      <w:pPr>
        <w:pStyle w:val="199"/>
        <w:rPr>
          <w:vanish w:val="0"/>
        </w:rPr>
      </w:pPr>
    </w:p>
    <w:bookmarkEnd w:id="115"/>
    <w:p w14:paraId="49E0BE42">
      <w:pPr>
        <w:pStyle w:val="63"/>
        <w:spacing w:after="156"/>
      </w:pPr>
      <w:bookmarkStart w:id="118" w:name="_Toc176941225"/>
      <w:bookmarkStart w:id="119" w:name="_Toc176942032"/>
      <w:bookmarkStart w:id="120" w:name="_Toc176940629"/>
      <w:bookmarkStart w:id="121" w:name="_Toc176942305"/>
      <w:bookmarkStart w:id="122" w:name="_Toc177716136"/>
      <w:bookmarkStart w:id="123" w:name="BookMark6"/>
      <w:r>
        <w:rPr>
          <w:rFonts w:hint="eastAsia"/>
          <w:spacing w:val="105"/>
        </w:rPr>
        <w:t>参考文</w:t>
      </w:r>
      <w:r>
        <w:rPr>
          <w:rFonts w:hint="eastAsia"/>
        </w:rPr>
        <w:t>献</w:t>
      </w:r>
      <w:bookmarkEnd w:id="118"/>
      <w:bookmarkEnd w:id="119"/>
      <w:bookmarkEnd w:id="120"/>
      <w:bookmarkEnd w:id="121"/>
      <w:bookmarkEnd w:id="122"/>
    </w:p>
    <w:p w14:paraId="670FB121">
      <w:pPr>
        <w:snapToGrid w:val="0"/>
        <w:spacing w:line="360" w:lineRule="auto"/>
      </w:pPr>
      <w:r>
        <w:t>[1]杭鑫,李心怡,谢小萍</w:t>
      </w:r>
      <w:r>
        <w:rPr>
          <w:rFonts w:hint="eastAsia"/>
        </w:rPr>
        <w:t>,李亚春</w:t>
      </w:r>
      <w:r>
        <w:t>.基于通径分析法的太湖蓝藻水华定量气象评估模型</w:t>
      </w:r>
      <w:r>
        <w:rPr>
          <w:rFonts w:hint="eastAsia"/>
        </w:rPr>
        <w:t>[</w:t>
      </w:r>
      <w:r>
        <w:t>J].湖泊科学,2019, 31(2):345-354. </w:t>
      </w:r>
    </w:p>
    <w:p w14:paraId="4377E6E4">
      <w:pPr>
        <w:snapToGrid w:val="0"/>
        <w:spacing w:line="360" w:lineRule="auto"/>
      </w:pPr>
      <w:r>
        <w:t>[2]李亚春,谢小萍,朱小莉</w:t>
      </w:r>
      <w:r>
        <w:rPr>
          <w:rFonts w:hint="eastAsia"/>
        </w:rPr>
        <w:t>,杭鑫,李心怡,景元书</w:t>
      </w:r>
      <w:r>
        <w:t>.结合卫星遥感技术的太湖蓝藻水华形成温度特征分析[J].湖泊科学,2016, 28(6):1256-1264.</w:t>
      </w:r>
    </w:p>
    <w:p w14:paraId="44DCAFC5">
      <w:pPr>
        <w:snapToGrid w:val="0"/>
        <w:spacing w:line="360" w:lineRule="auto"/>
      </w:pPr>
      <w:r>
        <w:t>[3]李亚春,谢小萍,杭鑫</w:t>
      </w:r>
      <w:r>
        <w:rPr>
          <w:rFonts w:hint="eastAsia"/>
        </w:rPr>
        <w:t>,朱小莉,黄珊,景元书</w:t>
      </w:r>
      <w:r>
        <w:t>.结合卫星遥感技术的太湖蓝藻水华形成风场特征[J].中国环境科学,2016, 36(2):525-533.</w:t>
      </w:r>
    </w:p>
    <w:p w14:paraId="49E630CB">
      <w:pPr>
        <w:snapToGrid w:val="0"/>
        <w:spacing w:line="360" w:lineRule="auto"/>
      </w:pPr>
      <w:r>
        <w:t>[4]曾宪报.统计权数论</w:t>
      </w:r>
      <w:r>
        <w:rPr>
          <w:rFonts w:hint="eastAsia"/>
        </w:rPr>
        <w:t>[</w:t>
      </w:r>
      <w:r>
        <w:t>D].</w:t>
      </w:r>
      <w:r>
        <w:rPr>
          <w:rFonts w:hint="eastAsia"/>
        </w:rPr>
        <w:t>大连:</w:t>
      </w:r>
      <w:r>
        <w:t>东北财经大学,1998.</w:t>
      </w:r>
    </w:p>
    <w:p w14:paraId="64DEF748">
      <w:pPr>
        <w:snapToGrid w:val="0"/>
        <w:spacing w:line="360" w:lineRule="auto"/>
      </w:pPr>
      <w:r>
        <w:t>[5]谢小萍,李亚春,杭鑫</w:t>
      </w:r>
      <w:r>
        <w:rPr>
          <w:rFonts w:hint="eastAsia"/>
        </w:rPr>
        <w:t>,黄珊</w:t>
      </w:r>
      <w:r>
        <w:t>.气温对太湖蓝藻复苏和休眠进程的影响[J].湖泊科学,2016,28(4):818-824.</w:t>
      </w:r>
    </w:p>
    <w:p w14:paraId="6EAA430B">
      <w:pPr>
        <w:snapToGrid w:val="0"/>
        <w:spacing w:line="360" w:lineRule="auto"/>
      </w:pPr>
      <w:r>
        <w:t>[6]孔繁翔,马荣华,高俊峰</w:t>
      </w:r>
      <w:r>
        <w:rPr>
          <w:rFonts w:hint="eastAsia"/>
        </w:rPr>
        <w:t>,吴晓东</w:t>
      </w:r>
      <w:r>
        <w:t>.太湖蓝藻水华的预防、预测和预警的理论与实践[J].湖泊科学,2009,21(3): 314-328.</w:t>
      </w:r>
    </w:p>
    <w:p w14:paraId="273451DE">
      <w:pPr>
        <w:snapToGrid w:val="0"/>
        <w:spacing w:line="360" w:lineRule="auto"/>
      </w:pPr>
      <w:r>
        <w:t>[7]罗晓春,杭鑫,曹云</w:t>
      </w:r>
      <w:r>
        <w:rPr>
          <w:rFonts w:hint="eastAsia"/>
        </w:rPr>
        <w:t>,杭蓉蓉,李亚春</w:t>
      </w:r>
      <w:r>
        <w:t>.太湖富营养化条件下影响蓝藻水华的主导气象因子[J].湖泊科学,2019,31(5): 1248-1258.</w:t>
      </w:r>
    </w:p>
    <w:p w14:paraId="29AFEE58">
      <w:pPr>
        <w:pStyle w:val="56"/>
        <w:ind w:firstLine="420"/>
      </w:pPr>
    </w:p>
    <w:p w14:paraId="61080473">
      <w:pPr>
        <w:pStyle w:val="56"/>
        <w:ind w:firstLine="420"/>
      </w:pPr>
    </w:p>
    <w:p w14:paraId="015492B5">
      <w:pPr>
        <w:pStyle w:val="56"/>
        <w:ind w:firstLine="420"/>
      </w:pPr>
    </w:p>
    <w:p w14:paraId="76DD3DF8">
      <w:pPr>
        <w:pStyle w:val="56"/>
        <w:ind w:firstLine="420"/>
      </w:pPr>
    </w:p>
    <w:bookmarkEnd w:id="123"/>
    <w:p w14:paraId="6DDFECE5">
      <w:pPr>
        <w:pStyle w:val="56"/>
        <w:ind w:firstLine="420"/>
      </w:pPr>
    </w:p>
    <w:p w14:paraId="3DA67C1E"/>
    <w:p w14:paraId="61119B9B"/>
    <w:p w14:paraId="4FA1A828"/>
    <w:p w14:paraId="091981EB"/>
    <w:p w14:paraId="534FF130"/>
    <w:p w14:paraId="4FF268BE"/>
    <w:p w14:paraId="4AAF5F54"/>
    <w:p w14:paraId="071E1DD3"/>
    <w:p w14:paraId="7C78C9E2"/>
    <w:p w14:paraId="216895D0"/>
    <w:p w14:paraId="16703BAF"/>
    <w:p w14:paraId="2277FA7D"/>
    <w:p w14:paraId="18FCB5DC"/>
    <w:p w14:paraId="5D757AE7">
      <w:pPr>
        <w:tabs>
          <w:tab w:val="left" w:pos="7974"/>
        </w:tabs>
      </w:pPr>
      <w:r>
        <w:tab/>
      </w: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65586">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D89C1">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0CFCF">
    <w:pPr>
      <w:pStyle w:val="52"/>
    </w:pPr>
    <w:r>
      <w:fldChar w:fldCharType="begin"/>
    </w:r>
    <w:r>
      <w:instrText xml:space="preserve">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6D4B84">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EEDFC5">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B44E7">
    <w:pPr>
      <w:pStyle w:val="61"/>
    </w:pPr>
    <w:r>
      <w:fldChar w:fldCharType="begin"/>
    </w:r>
    <w:r>
      <w:instrText xml:space="preserve"> STYLEREF  标准文件_文件编号  \* MERGEFORMAT </w:instrText>
    </w:r>
    <w:r>
      <w:fldChar w:fldCharType="separate"/>
    </w:r>
    <w:r>
      <w:t>DB XX/T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E59DA">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14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o/VgQRh1gEoWUBmAXmgojzMFwEmitXF2IMdOuQemTnMLsDVaAdQ5VWlJMgB9Lj/b9uKL7G9Ny6ivPv5SrZ3WJA==" w:salt="1shueMYJMvFrlwkvk/YHi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mNDNkOWUxODQ5YzRjYzI2Mjk0ZTQ4NGE4MDc3ZDUifQ=="/>
  </w:docVars>
  <w:rsids>
    <w:rsidRoot w:val="00E4045B"/>
    <w:rsid w:val="0000040A"/>
    <w:rsid w:val="00000A94"/>
    <w:rsid w:val="0000123A"/>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6264"/>
    <w:rsid w:val="00060C2E"/>
    <w:rsid w:val="00061033"/>
    <w:rsid w:val="0006108A"/>
    <w:rsid w:val="000619E9"/>
    <w:rsid w:val="000622D4"/>
    <w:rsid w:val="0006357D"/>
    <w:rsid w:val="00067F1E"/>
    <w:rsid w:val="00070633"/>
    <w:rsid w:val="00071CC0"/>
    <w:rsid w:val="00073C8C"/>
    <w:rsid w:val="00077B64"/>
    <w:rsid w:val="00080A1C"/>
    <w:rsid w:val="00082317"/>
    <w:rsid w:val="00083D2C"/>
    <w:rsid w:val="00086AA1"/>
    <w:rsid w:val="00087A77"/>
    <w:rsid w:val="00090CA6"/>
    <w:rsid w:val="00091A0B"/>
    <w:rsid w:val="00092B8A"/>
    <w:rsid w:val="00092FB0"/>
    <w:rsid w:val="000934C5"/>
    <w:rsid w:val="00093D25"/>
    <w:rsid w:val="00093DAB"/>
    <w:rsid w:val="00094D73"/>
    <w:rsid w:val="00096D63"/>
    <w:rsid w:val="00097E64"/>
    <w:rsid w:val="000A0B60"/>
    <w:rsid w:val="000A0EB8"/>
    <w:rsid w:val="000A19FC"/>
    <w:rsid w:val="000A296B"/>
    <w:rsid w:val="000A7311"/>
    <w:rsid w:val="000B060F"/>
    <w:rsid w:val="000B1592"/>
    <w:rsid w:val="000B1FF2"/>
    <w:rsid w:val="000B3CDA"/>
    <w:rsid w:val="000B6A0B"/>
    <w:rsid w:val="000B73A2"/>
    <w:rsid w:val="000B7F18"/>
    <w:rsid w:val="000C0F6C"/>
    <w:rsid w:val="000C11DB"/>
    <w:rsid w:val="000C1492"/>
    <w:rsid w:val="000C2FBD"/>
    <w:rsid w:val="000C4B41"/>
    <w:rsid w:val="000C57D6"/>
    <w:rsid w:val="000C5D5D"/>
    <w:rsid w:val="000C6362"/>
    <w:rsid w:val="000C7666"/>
    <w:rsid w:val="000D0A9C"/>
    <w:rsid w:val="000D1795"/>
    <w:rsid w:val="000D329A"/>
    <w:rsid w:val="000D4B9C"/>
    <w:rsid w:val="000D4EB6"/>
    <w:rsid w:val="000D753B"/>
    <w:rsid w:val="000E4C9E"/>
    <w:rsid w:val="000E6FD7"/>
    <w:rsid w:val="000F0444"/>
    <w:rsid w:val="000F06E1"/>
    <w:rsid w:val="000F0C8C"/>
    <w:rsid w:val="000F0E3C"/>
    <w:rsid w:val="000F19D5"/>
    <w:rsid w:val="000F4AEA"/>
    <w:rsid w:val="000F5DD4"/>
    <w:rsid w:val="000F633F"/>
    <w:rsid w:val="000F67E9"/>
    <w:rsid w:val="00104926"/>
    <w:rsid w:val="00107629"/>
    <w:rsid w:val="001076F8"/>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6E2F"/>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606C"/>
    <w:rsid w:val="00186EA7"/>
    <w:rsid w:val="00190087"/>
    <w:rsid w:val="001913C4"/>
    <w:rsid w:val="0019348F"/>
    <w:rsid w:val="00193A07"/>
    <w:rsid w:val="00194C95"/>
    <w:rsid w:val="00195C34"/>
    <w:rsid w:val="00196EF5"/>
    <w:rsid w:val="001A1A53"/>
    <w:rsid w:val="001A234A"/>
    <w:rsid w:val="001A4A7B"/>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0AD"/>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55D7"/>
    <w:rsid w:val="002204BB"/>
    <w:rsid w:val="00221592"/>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51D7"/>
    <w:rsid w:val="002771AC"/>
    <w:rsid w:val="00281BB8"/>
    <w:rsid w:val="00281E9E"/>
    <w:rsid w:val="00282405"/>
    <w:rsid w:val="0028361D"/>
    <w:rsid w:val="00285170"/>
    <w:rsid w:val="00285361"/>
    <w:rsid w:val="002923C3"/>
    <w:rsid w:val="00292D60"/>
    <w:rsid w:val="00293B30"/>
    <w:rsid w:val="00294D34"/>
    <w:rsid w:val="00294E3B"/>
    <w:rsid w:val="00296193"/>
    <w:rsid w:val="00296C66"/>
    <w:rsid w:val="00296EBE"/>
    <w:rsid w:val="002974E3"/>
    <w:rsid w:val="002A084B"/>
    <w:rsid w:val="002A1260"/>
    <w:rsid w:val="002A1589"/>
    <w:rsid w:val="002A1608"/>
    <w:rsid w:val="002A23DD"/>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399"/>
    <w:rsid w:val="002C3F07"/>
    <w:rsid w:val="002C5278"/>
    <w:rsid w:val="002C7EBB"/>
    <w:rsid w:val="002D06C1"/>
    <w:rsid w:val="002D42B5"/>
    <w:rsid w:val="002D4F1A"/>
    <w:rsid w:val="002D6EC6"/>
    <w:rsid w:val="002D79AC"/>
    <w:rsid w:val="002E039D"/>
    <w:rsid w:val="002E49F3"/>
    <w:rsid w:val="002E4D5A"/>
    <w:rsid w:val="002E6326"/>
    <w:rsid w:val="002F30E0"/>
    <w:rsid w:val="002F35E4"/>
    <w:rsid w:val="002F3730"/>
    <w:rsid w:val="002F38E1"/>
    <w:rsid w:val="002F7AF6"/>
    <w:rsid w:val="003005E3"/>
    <w:rsid w:val="00300E63"/>
    <w:rsid w:val="00302F5F"/>
    <w:rsid w:val="00303D10"/>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50A2"/>
    <w:rsid w:val="00375945"/>
    <w:rsid w:val="00376713"/>
    <w:rsid w:val="003807C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78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4CF3"/>
    <w:rsid w:val="004167A3"/>
    <w:rsid w:val="00432DAA"/>
    <w:rsid w:val="00434305"/>
    <w:rsid w:val="00435DF7"/>
    <w:rsid w:val="0044066B"/>
    <w:rsid w:val="0044083F"/>
    <w:rsid w:val="00441AE7"/>
    <w:rsid w:val="00445574"/>
    <w:rsid w:val="004467FB"/>
    <w:rsid w:val="00447380"/>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20A4"/>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193"/>
    <w:rsid w:val="00516088"/>
    <w:rsid w:val="00516B0B"/>
    <w:rsid w:val="005220EC"/>
    <w:rsid w:val="00523F95"/>
    <w:rsid w:val="00524D65"/>
    <w:rsid w:val="00525B16"/>
    <w:rsid w:val="00531E06"/>
    <w:rsid w:val="00533D04"/>
    <w:rsid w:val="00534804"/>
    <w:rsid w:val="00534BDF"/>
    <w:rsid w:val="005354EA"/>
    <w:rsid w:val="0053585F"/>
    <w:rsid w:val="00535A28"/>
    <w:rsid w:val="00535EC4"/>
    <w:rsid w:val="00535ED9"/>
    <w:rsid w:val="0053692B"/>
    <w:rsid w:val="005417AC"/>
    <w:rsid w:val="00541853"/>
    <w:rsid w:val="00543BDA"/>
    <w:rsid w:val="005441CC"/>
    <w:rsid w:val="0054760A"/>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732"/>
    <w:rsid w:val="005E6812"/>
    <w:rsid w:val="005E7881"/>
    <w:rsid w:val="005E78E0"/>
    <w:rsid w:val="005F0D9C"/>
    <w:rsid w:val="005F284E"/>
    <w:rsid w:val="005F3F71"/>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B59"/>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3752"/>
    <w:rsid w:val="00704387"/>
    <w:rsid w:val="00707669"/>
    <w:rsid w:val="00711CBA"/>
    <w:rsid w:val="00711FB5"/>
    <w:rsid w:val="007129BB"/>
    <w:rsid w:val="00712A01"/>
    <w:rsid w:val="00713FA0"/>
    <w:rsid w:val="00714F58"/>
    <w:rsid w:val="00722FBF"/>
    <w:rsid w:val="00722FC2"/>
    <w:rsid w:val="00724879"/>
    <w:rsid w:val="00724E1B"/>
    <w:rsid w:val="00725949"/>
    <w:rsid w:val="00725B41"/>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1FFD"/>
    <w:rsid w:val="007959E8"/>
    <w:rsid w:val="00795E9C"/>
    <w:rsid w:val="007A0521"/>
    <w:rsid w:val="007A2E12"/>
    <w:rsid w:val="007A3475"/>
    <w:rsid w:val="007A41C8"/>
    <w:rsid w:val="007A54CE"/>
    <w:rsid w:val="007A5DCC"/>
    <w:rsid w:val="007A6FD9"/>
    <w:rsid w:val="007A7FFA"/>
    <w:rsid w:val="007B04EB"/>
    <w:rsid w:val="007B0D4F"/>
    <w:rsid w:val="007B2E13"/>
    <w:rsid w:val="007B5A3D"/>
    <w:rsid w:val="007B5B95"/>
    <w:rsid w:val="007B68EA"/>
    <w:rsid w:val="007B7453"/>
    <w:rsid w:val="007C1E8B"/>
    <w:rsid w:val="007C2D89"/>
    <w:rsid w:val="007C4593"/>
    <w:rsid w:val="007C5309"/>
    <w:rsid w:val="007C6069"/>
    <w:rsid w:val="007D06C4"/>
    <w:rsid w:val="007D1352"/>
    <w:rsid w:val="007D209B"/>
    <w:rsid w:val="007D2508"/>
    <w:rsid w:val="007D346A"/>
    <w:rsid w:val="007D6518"/>
    <w:rsid w:val="007D76BD"/>
    <w:rsid w:val="007E0BF1"/>
    <w:rsid w:val="007E1FA1"/>
    <w:rsid w:val="007E2821"/>
    <w:rsid w:val="007F0ED8"/>
    <w:rsid w:val="007F0F63"/>
    <w:rsid w:val="007F4724"/>
    <w:rsid w:val="007F75CE"/>
    <w:rsid w:val="008013A4"/>
    <w:rsid w:val="008027CE"/>
    <w:rsid w:val="00802F42"/>
    <w:rsid w:val="00804383"/>
    <w:rsid w:val="00804BB7"/>
    <w:rsid w:val="00804D41"/>
    <w:rsid w:val="00806B8C"/>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0DEB"/>
    <w:rsid w:val="008620FC"/>
    <w:rsid w:val="008627A5"/>
    <w:rsid w:val="00863E05"/>
    <w:rsid w:val="00865ACA"/>
    <w:rsid w:val="00865D28"/>
    <w:rsid w:val="00865F85"/>
    <w:rsid w:val="00867C10"/>
    <w:rsid w:val="00870439"/>
    <w:rsid w:val="00870DA1"/>
    <w:rsid w:val="00883F93"/>
    <w:rsid w:val="00884509"/>
    <w:rsid w:val="00884DB3"/>
    <w:rsid w:val="008852A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27B9"/>
    <w:rsid w:val="008B3615"/>
    <w:rsid w:val="008B4AC4"/>
    <w:rsid w:val="008B50C8"/>
    <w:rsid w:val="008B5281"/>
    <w:rsid w:val="008B5735"/>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C56"/>
    <w:rsid w:val="008F0CDC"/>
    <w:rsid w:val="008F17A3"/>
    <w:rsid w:val="008F1ED3"/>
    <w:rsid w:val="008F23A5"/>
    <w:rsid w:val="008F4C29"/>
    <w:rsid w:val="008F70BD"/>
    <w:rsid w:val="008F788F"/>
    <w:rsid w:val="008F7EA2"/>
    <w:rsid w:val="00902722"/>
    <w:rsid w:val="009027BC"/>
    <w:rsid w:val="00903C0F"/>
    <w:rsid w:val="00904DF6"/>
    <w:rsid w:val="00906187"/>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4011"/>
    <w:rsid w:val="00945180"/>
    <w:rsid w:val="00945428"/>
    <w:rsid w:val="0094607B"/>
    <w:rsid w:val="009472E7"/>
    <w:rsid w:val="00953604"/>
    <w:rsid w:val="0095496B"/>
    <w:rsid w:val="009610DC"/>
    <w:rsid w:val="00961490"/>
    <w:rsid w:val="0096381A"/>
    <w:rsid w:val="00965E04"/>
    <w:rsid w:val="009674AD"/>
    <w:rsid w:val="00970CDC"/>
    <w:rsid w:val="00977010"/>
    <w:rsid w:val="00977D02"/>
    <w:rsid w:val="0098046B"/>
    <w:rsid w:val="009809BB"/>
    <w:rsid w:val="0098364B"/>
    <w:rsid w:val="00984712"/>
    <w:rsid w:val="00987395"/>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6BE2"/>
    <w:rsid w:val="009A72AD"/>
    <w:rsid w:val="009B09E0"/>
    <w:rsid w:val="009B0BC5"/>
    <w:rsid w:val="009B1247"/>
    <w:rsid w:val="009B46F9"/>
    <w:rsid w:val="009B6029"/>
    <w:rsid w:val="009B6971"/>
    <w:rsid w:val="009B6E4C"/>
    <w:rsid w:val="009C27F1"/>
    <w:rsid w:val="009C3152"/>
    <w:rsid w:val="009C3430"/>
    <w:rsid w:val="009C4CFA"/>
    <w:rsid w:val="009C5070"/>
    <w:rsid w:val="009D112C"/>
    <w:rsid w:val="009D2A1E"/>
    <w:rsid w:val="009D47FA"/>
    <w:rsid w:val="009D4C5B"/>
    <w:rsid w:val="009D50D2"/>
    <w:rsid w:val="009D6BCA"/>
    <w:rsid w:val="009E0F62"/>
    <w:rsid w:val="009E3207"/>
    <w:rsid w:val="009E4A58"/>
    <w:rsid w:val="009E5A2D"/>
    <w:rsid w:val="009E5AB2"/>
    <w:rsid w:val="009E6182"/>
    <w:rsid w:val="009E6219"/>
    <w:rsid w:val="009F03B3"/>
    <w:rsid w:val="00A0096C"/>
    <w:rsid w:val="00A01757"/>
    <w:rsid w:val="00A028C0"/>
    <w:rsid w:val="00A02BAE"/>
    <w:rsid w:val="00A06A6B"/>
    <w:rsid w:val="00A07E47"/>
    <w:rsid w:val="00A129D0"/>
    <w:rsid w:val="00A12C33"/>
    <w:rsid w:val="00A138BA"/>
    <w:rsid w:val="00A14430"/>
    <w:rsid w:val="00A14C8E"/>
    <w:rsid w:val="00A153D9"/>
    <w:rsid w:val="00A15F09"/>
    <w:rsid w:val="00A169B6"/>
    <w:rsid w:val="00A2271D"/>
    <w:rsid w:val="00A237D5"/>
    <w:rsid w:val="00A30EFC"/>
    <w:rsid w:val="00A31984"/>
    <w:rsid w:val="00A32D73"/>
    <w:rsid w:val="00A3367B"/>
    <w:rsid w:val="00A34337"/>
    <w:rsid w:val="00A3597D"/>
    <w:rsid w:val="00A36DD1"/>
    <w:rsid w:val="00A4006C"/>
    <w:rsid w:val="00A40091"/>
    <w:rsid w:val="00A4030F"/>
    <w:rsid w:val="00A41C79"/>
    <w:rsid w:val="00A41CB5"/>
    <w:rsid w:val="00A42CDF"/>
    <w:rsid w:val="00A4452E"/>
    <w:rsid w:val="00A4472C"/>
    <w:rsid w:val="00A44E69"/>
    <w:rsid w:val="00A4661E"/>
    <w:rsid w:val="00A50352"/>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5A81"/>
    <w:rsid w:val="00A963F7"/>
    <w:rsid w:val="00A96AD8"/>
    <w:rsid w:val="00AA052C"/>
    <w:rsid w:val="00AA1E45"/>
    <w:rsid w:val="00AA4286"/>
    <w:rsid w:val="00AA456B"/>
    <w:rsid w:val="00AA57F5"/>
    <w:rsid w:val="00AA672E"/>
    <w:rsid w:val="00AA6EC9"/>
    <w:rsid w:val="00AB41D5"/>
    <w:rsid w:val="00AB42EC"/>
    <w:rsid w:val="00AB6309"/>
    <w:rsid w:val="00AB6C5F"/>
    <w:rsid w:val="00AB6F4A"/>
    <w:rsid w:val="00AB7129"/>
    <w:rsid w:val="00AC27A6"/>
    <w:rsid w:val="00AC30F7"/>
    <w:rsid w:val="00AC3A5A"/>
    <w:rsid w:val="00AC4D95"/>
    <w:rsid w:val="00AC5DF4"/>
    <w:rsid w:val="00AC6F74"/>
    <w:rsid w:val="00AD0AEF"/>
    <w:rsid w:val="00AD11B7"/>
    <w:rsid w:val="00AD1A94"/>
    <w:rsid w:val="00AD1C05"/>
    <w:rsid w:val="00AD4126"/>
    <w:rsid w:val="00AD421C"/>
    <w:rsid w:val="00AD44FA"/>
    <w:rsid w:val="00AD4900"/>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988"/>
    <w:rsid w:val="00B34DC2"/>
    <w:rsid w:val="00B37637"/>
    <w:rsid w:val="00B378E5"/>
    <w:rsid w:val="00B4346D"/>
    <w:rsid w:val="00B440F4"/>
    <w:rsid w:val="00B447A5"/>
    <w:rsid w:val="00B4654C"/>
    <w:rsid w:val="00B46AF0"/>
    <w:rsid w:val="00B46D17"/>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1F9A"/>
    <w:rsid w:val="00B939B1"/>
    <w:rsid w:val="00B96D40"/>
    <w:rsid w:val="00B97386"/>
    <w:rsid w:val="00BA263B"/>
    <w:rsid w:val="00BA42B2"/>
    <w:rsid w:val="00BA58D4"/>
    <w:rsid w:val="00BA5B9E"/>
    <w:rsid w:val="00BA7C9A"/>
    <w:rsid w:val="00BB1D9C"/>
    <w:rsid w:val="00BB203B"/>
    <w:rsid w:val="00BB5F8F"/>
    <w:rsid w:val="00BB657A"/>
    <w:rsid w:val="00BC1A4E"/>
    <w:rsid w:val="00BC4790"/>
    <w:rsid w:val="00BC4825"/>
    <w:rsid w:val="00BC5DC7"/>
    <w:rsid w:val="00BC6B8B"/>
    <w:rsid w:val="00BC73D8"/>
    <w:rsid w:val="00BD5149"/>
    <w:rsid w:val="00BD52D7"/>
    <w:rsid w:val="00BD5AD2"/>
    <w:rsid w:val="00BE22F3"/>
    <w:rsid w:val="00BE5B52"/>
    <w:rsid w:val="00BE7B8D"/>
    <w:rsid w:val="00BF0993"/>
    <w:rsid w:val="00BF10A9"/>
    <w:rsid w:val="00BF1703"/>
    <w:rsid w:val="00BF231C"/>
    <w:rsid w:val="00BF51E5"/>
    <w:rsid w:val="00BF74A6"/>
    <w:rsid w:val="00C0135F"/>
    <w:rsid w:val="00C013AD"/>
    <w:rsid w:val="00C04904"/>
    <w:rsid w:val="00C056B3"/>
    <w:rsid w:val="00C103E5"/>
    <w:rsid w:val="00C13319"/>
    <w:rsid w:val="00C13EE9"/>
    <w:rsid w:val="00C21540"/>
    <w:rsid w:val="00C21906"/>
    <w:rsid w:val="00C21BFA"/>
    <w:rsid w:val="00C22148"/>
    <w:rsid w:val="00C22389"/>
    <w:rsid w:val="00C24C8D"/>
    <w:rsid w:val="00C25FE2"/>
    <w:rsid w:val="00C26B53"/>
    <w:rsid w:val="00C279B2"/>
    <w:rsid w:val="00C33E50"/>
    <w:rsid w:val="00C34C20"/>
    <w:rsid w:val="00C35A3E"/>
    <w:rsid w:val="00C35CC9"/>
    <w:rsid w:val="00C36BCC"/>
    <w:rsid w:val="00C42130"/>
    <w:rsid w:val="00C423A4"/>
    <w:rsid w:val="00C44BF5"/>
    <w:rsid w:val="00C45088"/>
    <w:rsid w:val="00C51241"/>
    <w:rsid w:val="00C521D6"/>
    <w:rsid w:val="00C55232"/>
    <w:rsid w:val="00C553A4"/>
    <w:rsid w:val="00C55A06"/>
    <w:rsid w:val="00C55D03"/>
    <w:rsid w:val="00C601BC"/>
    <w:rsid w:val="00C6329F"/>
    <w:rsid w:val="00C63340"/>
    <w:rsid w:val="00C643F9"/>
    <w:rsid w:val="00C64E95"/>
    <w:rsid w:val="00C7078A"/>
    <w:rsid w:val="00C71372"/>
    <w:rsid w:val="00C72410"/>
    <w:rsid w:val="00C7287F"/>
    <w:rsid w:val="00C80982"/>
    <w:rsid w:val="00C80CB8"/>
    <w:rsid w:val="00C819F8"/>
    <w:rsid w:val="00C8248C"/>
    <w:rsid w:val="00C84E33"/>
    <w:rsid w:val="00C86D6F"/>
    <w:rsid w:val="00C905FC"/>
    <w:rsid w:val="00C92D03"/>
    <w:rsid w:val="00C92FD8"/>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1FFD"/>
    <w:rsid w:val="00CD2808"/>
    <w:rsid w:val="00CD28BF"/>
    <w:rsid w:val="00CD4092"/>
    <w:rsid w:val="00CD4A20"/>
    <w:rsid w:val="00CD50A1"/>
    <w:rsid w:val="00CD519E"/>
    <w:rsid w:val="00CD561D"/>
    <w:rsid w:val="00CE0C4F"/>
    <w:rsid w:val="00CE30EA"/>
    <w:rsid w:val="00CF048A"/>
    <w:rsid w:val="00CF155A"/>
    <w:rsid w:val="00CF2947"/>
    <w:rsid w:val="00CF4A0B"/>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52AA9"/>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469A"/>
    <w:rsid w:val="00DA5191"/>
    <w:rsid w:val="00DA64F8"/>
    <w:rsid w:val="00DA6C15"/>
    <w:rsid w:val="00DB0258"/>
    <w:rsid w:val="00DB06E9"/>
    <w:rsid w:val="00DB38EE"/>
    <w:rsid w:val="00DB498B"/>
    <w:rsid w:val="00DB66CA"/>
    <w:rsid w:val="00DB6BCA"/>
    <w:rsid w:val="00DB73F7"/>
    <w:rsid w:val="00DB7F06"/>
    <w:rsid w:val="00DC0321"/>
    <w:rsid w:val="00DC3067"/>
    <w:rsid w:val="00DC370B"/>
    <w:rsid w:val="00DC5B90"/>
    <w:rsid w:val="00DC6F5D"/>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49A"/>
    <w:rsid w:val="00DF1961"/>
    <w:rsid w:val="00DF2464"/>
    <w:rsid w:val="00DF44DE"/>
    <w:rsid w:val="00DF5F11"/>
    <w:rsid w:val="00E01138"/>
    <w:rsid w:val="00E02DFB"/>
    <w:rsid w:val="00E030F9"/>
    <w:rsid w:val="00E0311A"/>
    <w:rsid w:val="00E03138"/>
    <w:rsid w:val="00E03B3B"/>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045B"/>
    <w:rsid w:val="00E4476B"/>
    <w:rsid w:val="00E44A83"/>
    <w:rsid w:val="00E502C1"/>
    <w:rsid w:val="00E502DD"/>
    <w:rsid w:val="00E50D3A"/>
    <w:rsid w:val="00E51387"/>
    <w:rsid w:val="00E51E68"/>
    <w:rsid w:val="00E52EFD"/>
    <w:rsid w:val="00E5408A"/>
    <w:rsid w:val="00E56242"/>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991"/>
    <w:rsid w:val="00E95D13"/>
    <w:rsid w:val="00E95DD3"/>
    <w:rsid w:val="00E969D5"/>
    <w:rsid w:val="00EA4BEC"/>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66E1"/>
    <w:rsid w:val="00EE7295"/>
    <w:rsid w:val="00EE7869"/>
    <w:rsid w:val="00EF054A"/>
    <w:rsid w:val="00EF3235"/>
    <w:rsid w:val="00EF3457"/>
    <w:rsid w:val="00EF4919"/>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118"/>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3B4E"/>
    <w:rsid w:val="00F95248"/>
    <w:rsid w:val="00F956A9"/>
    <w:rsid w:val="00F963ED"/>
    <w:rsid w:val="00F966CF"/>
    <w:rsid w:val="00F96705"/>
    <w:rsid w:val="00F96CAE"/>
    <w:rsid w:val="00F97C99"/>
    <w:rsid w:val="00FA4DAC"/>
    <w:rsid w:val="00FA662D"/>
    <w:rsid w:val="00FA73B1"/>
    <w:rsid w:val="00FB0CB9"/>
    <w:rsid w:val="00FB18CD"/>
    <w:rsid w:val="00FB231D"/>
    <w:rsid w:val="00FB45F1"/>
    <w:rsid w:val="00FB4A72"/>
    <w:rsid w:val="00FB54E8"/>
    <w:rsid w:val="00FB7054"/>
    <w:rsid w:val="00FB79DF"/>
    <w:rsid w:val="00FC1162"/>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37BF3B30"/>
    <w:rsid w:val="543103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uiPriority w:val="0"/>
    <w:rPr>
      <w:b/>
      <w:bCs/>
      <w:kern w:val="44"/>
      <w:sz w:val="44"/>
      <w:szCs w:val="44"/>
    </w:rPr>
  </w:style>
  <w:style w:type="character" w:customStyle="1" w:styleId="35">
    <w:name w:val="标题 2 Char"/>
    <w:link w:val="3"/>
    <w:uiPriority w:val="0"/>
    <w:rPr>
      <w:rFonts w:ascii="Arial" w:hAnsi="Arial" w:eastAsia="黑体"/>
      <w:b/>
      <w:bCs/>
      <w:kern w:val="2"/>
      <w:sz w:val="32"/>
      <w:szCs w:val="32"/>
    </w:rPr>
  </w:style>
  <w:style w:type="character" w:customStyle="1" w:styleId="36">
    <w:name w:val="标题 3 Char"/>
    <w:link w:val="4"/>
    <w:uiPriority w:val="0"/>
    <w:rPr>
      <w:b/>
      <w:bCs/>
      <w:kern w:val="2"/>
      <w:sz w:val="32"/>
      <w:szCs w:val="32"/>
    </w:rPr>
  </w:style>
  <w:style w:type="character" w:customStyle="1" w:styleId="37">
    <w:name w:val="标题 4 Char"/>
    <w:link w:val="5"/>
    <w:uiPriority w:val="0"/>
    <w:rPr>
      <w:rFonts w:ascii="Arial" w:hAnsi="Arial" w:eastAsia="黑体"/>
      <w:b/>
      <w:bCs/>
      <w:kern w:val="2"/>
      <w:sz w:val="28"/>
      <w:szCs w:val="28"/>
    </w:rPr>
  </w:style>
  <w:style w:type="character" w:customStyle="1" w:styleId="38">
    <w:name w:val="标题 5 Char"/>
    <w:link w:val="6"/>
    <w:uiPriority w:val="0"/>
    <w:rPr>
      <w:b/>
      <w:bCs/>
      <w:kern w:val="2"/>
      <w:sz w:val="28"/>
      <w:szCs w:val="28"/>
    </w:rPr>
  </w:style>
  <w:style w:type="character" w:customStyle="1" w:styleId="39">
    <w:name w:val="标题 6 Char"/>
    <w:link w:val="7"/>
    <w:uiPriority w:val="0"/>
    <w:rPr>
      <w:rFonts w:ascii="Arial" w:hAnsi="Arial" w:eastAsia="黑体"/>
      <w:b/>
      <w:bCs/>
      <w:kern w:val="2"/>
      <w:sz w:val="24"/>
      <w:szCs w:val="24"/>
    </w:rPr>
  </w:style>
  <w:style w:type="character" w:customStyle="1" w:styleId="40">
    <w:name w:val="标题 7 Char"/>
    <w:link w:val="8"/>
    <w:uiPriority w:val="0"/>
    <w:rPr>
      <w:b/>
      <w:bCs/>
      <w:kern w:val="2"/>
      <w:sz w:val="24"/>
      <w:szCs w:val="24"/>
    </w:rPr>
  </w:style>
  <w:style w:type="character" w:customStyle="1" w:styleId="41">
    <w:name w:val="标题 8 Char"/>
    <w:link w:val="9"/>
    <w:uiPriority w:val="0"/>
    <w:rPr>
      <w:rFonts w:ascii="Arial" w:hAnsi="Arial" w:eastAsia="黑体"/>
      <w:kern w:val="2"/>
      <w:sz w:val="24"/>
      <w:szCs w:val="24"/>
    </w:rPr>
  </w:style>
  <w:style w:type="character" w:customStyle="1" w:styleId="42">
    <w:name w:val="标题 9 Char"/>
    <w:link w:val="10"/>
    <w:uiPriority w:val="0"/>
    <w:rPr>
      <w:rFonts w:ascii="Arial" w:hAnsi="Arial" w:eastAsia="黑体"/>
      <w:kern w:val="2"/>
      <w:sz w:val="21"/>
      <w:szCs w:val="21"/>
    </w:rPr>
  </w:style>
  <w:style w:type="character" w:customStyle="1" w:styleId="43">
    <w:name w:val="页眉 Char"/>
    <w:link w:val="18"/>
    <w:uiPriority w:val="99"/>
    <w:rPr>
      <w:kern w:val="2"/>
      <w:sz w:val="18"/>
      <w:szCs w:val="18"/>
    </w:rPr>
  </w:style>
  <w:style w:type="character" w:customStyle="1" w:styleId="44">
    <w:name w:val="页脚 Char"/>
    <w:link w:val="17"/>
    <w:uiPriority w:val="99"/>
    <w:rPr>
      <w:rFonts w:ascii="宋体"/>
      <w:kern w:val="2"/>
      <w:sz w:val="18"/>
      <w:szCs w:val="18"/>
    </w:rPr>
  </w:style>
  <w:style w:type="character" w:customStyle="1" w:styleId="45">
    <w:name w:val="批注框文本 Char"/>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uiPriority w:val="29"/>
    <w:rPr>
      <w:i/>
      <w:iCs/>
      <w:color w:val="000000"/>
      <w:kern w:val="2"/>
      <w:sz w:val="21"/>
      <w:szCs w:val="21"/>
    </w:rPr>
  </w:style>
  <w:style w:type="character" w:customStyle="1" w:styleId="48">
    <w:name w:val="标题 Char"/>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段"/>
    <w:link w:val="23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31">
    <w:name w:val="段 Char"/>
    <w:link w:val="230"/>
    <w:uiPriority w:val="0"/>
    <w:rPr>
      <w:rFonts w:ascii="宋体" w:hAnsi="Times New Roman"/>
      <w:sz w:val="21"/>
    </w:rPr>
  </w:style>
  <w:style w:type="paragraph" w:customStyle="1" w:styleId="232">
    <w:name w:val="前言、引言标题"/>
    <w:next w:val="1"/>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33">
    <w:name w:val="章标题"/>
    <w:next w:val="230"/>
    <w:uiPriority w:val="0"/>
    <w:pPr>
      <w:spacing w:beforeLines="50" w:afterLines="50"/>
      <w:jc w:val="both"/>
      <w:outlineLvl w:val="1"/>
    </w:pPr>
    <w:rPr>
      <w:rFonts w:ascii="黑体" w:hAnsi="Times New Roman" w:eastAsia="黑体" w:cs="Times New Roman"/>
      <w:sz w:val="21"/>
      <w:lang w:val="en-US" w:eastAsia="zh-CN" w:bidi="ar-SA"/>
    </w:rPr>
  </w:style>
  <w:style w:type="paragraph" w:customStyle="1" w:styleId="234">
    <w:name w:val="一级条标题"/>
    <w:next w:val="230"/>
    <w:qFormat/>
    <w:uiPriority w:val="0"/>
    <w:pPr>
      <w:outlineLvl w:val="2"/>
    </w:pPr>
    <w:rPr>
      <w:rFonts w:ascii="Times New Roman" w:hAnsi="Times New Roman" w:eastAsia="黑体" w:cs="Times New Roman"/>
      <w:sz w:val="21"/>
      <w:lang w:val="en-US" w:eastAsia="zh-CN" w:bidi="ar-SA"/>
    </w:rPr>
  </w:style>
  <w:style w:type="paragraph" w:customStyle="1" w:styleId="235">
    <w:name w:val="二级条标题"/>
    <w:basedOn w:val="234"/>
    <w:next w:val="230"/>
    <w:qFormat/>
    <w:uiPriority w:val="0"/>
    <w:pPr>
      <w:outlineLvl w:val="3"/>
    </w:pPr>
  </w:style>
  <w:style w:type="paragraph" w:customStyle="1" w:styleId="236">
    <w:name w:val="三级条标题"/>
    <w:basedOn w:val="235"/>
    <w:next w:val="230"/>
    <w:qFormat/>
    <w:uiPriority w:val="0"/>
    <w:pPr>
      <w:outlineLvl w:val="4"/>
    </w:pPr>
  </w:style>
  <w:style w:type="paragraph" w:customStyle="1" w:styleId="237">
    <w:name w:val="四级条标题"/>
    <w:basedOn w:val="236"/>
    <w:next w:val="230"/>
    <w:uiPriority w:val="0"/>
    <w:pPr>
      <w:outlineLvl w:val="5"/>
    </w:pPr>
  </w:style>
  <w:style w:type="paragraph" w:customStyle="1" w:styleId="238">
    <w:name w:val="五级条标题"/>
    <w:basedOn w:val="237"/>
    <w:next w:val="230"/>
    <w:uiPriority w:val="0"/>
    <w:pPr>
      <w:outlineLvl w:val="6"/>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pn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2A72AB886484663B3DD489E59A497F7"/>
        <w:style w:val=""/>
        <w:category>
          <w:name w:val="常规"/>
          <w:gallery w:val="placeholder"/>
        </w:category>
        <w:types>
          <w:type w:val="bbPlcHdr"/>
        </w:types>
        <w:behaviors>
          <w:behavior w:val="content"/>
        </w:behaviors>
        <w:description w:val=""/>
        <w:guid w:val="{C8DC09AF-631C-4E22-A94A-857F3C06ACC7}"/>
      </w:docPartPr>
      <w:docPartBody>
        <w:p w14:paraId="30D6ED3E">
          <w:pPr>
            <w:pStyle w:val="5"/>
          </w:pPr>
          <w:r>
            <w:rPr>
              <w:rStyle w:val="4"/>
              <w:rFonts w:hint="eastAsia"/>
            </w:rPr>
            <w:t>单击或点击此处输入文字。</w:t>
          </w:r>
        </w:p>
      </w:docPartBody>
    </w:docPart>
    <w:docPart>
      <w:docPartPr>
        <w:name w:val="915B9BA70C364B77A703B6D936A74313"/>
        <w:style w:val=""/>
        <w:category>
          <w:name w:val="常规"/>
          <w:gallery w:val="placeholder"/>
        </w:category>
        <w:types>
          <w:type w:val="bbPlcHdr"/>
        </w:types>
        <w:behaviors>
          <w:behavior w:val="content"/>
        </w:behaviors>
        <w:description w:val=""/>
        <w:guid w:val="{7CD05BAF-2FE7-477E-9BCF-087FFEFD99AC}"/>
      </w:docPartPr>
      <w:docPartBody>
        <w:p w14:paraId="389572AC">
          <w:pPr>
            <w:pStyle w:val="6"/>
          </w:pPr>
          <w:r>
            <w:rPr>
              <w:rStyle w:val="4"/>
              <w:rFonts w:hint="eastAsia"/>
            </w:rPr>
            <w:t>选择一项。</w:t>
          </w:r>
        </w:p>
      </w:docPartBody>
    </w:docPart>
    <w:docPart>
      <w:docPartPr>
        <w:name w:val="59847BE7801C42E69DC717285E3C8B52"/>
        <w:style w:val=""/>
        <w:category>
          <w:name w:val="常规"/>
          <w:gallery w:val="placeholder"/>
        </w:category>
        <w:types>
          <w:type w:val="bbPlcHdr"/>
        </w:types>
        <w:behaviors>
          <w:behavior w:val="content"/>
        </w:behaviors>
        <w:description w:val=""/>
        <w:guid w:val="{09F08F77-8007-4392-A860-2B656084BAD6}"/>
      </w:docPartPr>
      <w:docPartBody>
        <w:p w14:paraId="602A894A">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05BD"/>
    <w:rsid w:val="000512D9"/>
    <w:rsid w:val="00183AB0"/>
    <w:rsid w:val="001F0F48"/>
    <w:rsid w:val="00231AC3"/>
    <w:rsid w:val="0024197C"/>
    <w:rsid w:val="00262425"/>
    <w:rsid w:val="002A527C"/>
    <w:rsid w:val="003628E0"/>
    <w:rsid w:val="003C60C6"/>
    <w:rsid w:val="004346D5"/>
    <w:rsid w:val="00470EA8"/>
    <w:rsid w:val="0075059E"/>
    <w:rsid w:val="008F6BC7"/>
    <w:rsid w:val="009C4CC9"/>
    <w:rsid w:val="00CA0E84"/>
    <w:rsid w:val="00DA0EBD"/>
    <w:rsid w:val="00DB05BD"/>
    <w:rsid w:val="00EF27F2"/>
    <w:rsid w:val="00F23C3F"/>
    <w:rsid w:val="00F90B37"/>
    <w:rsid w:val="00FC7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E2A72AB886484663B3DD489E59A497F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15B9BA70C364B77A703B6D936A7431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9847BE7801C42E69DC717285E3C8B52"/>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F94A85-81B0-4FC6-8660-59FC8514AF79}">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11</Pages>
  <Words>2247</Words>
  <Characters>2729</Characters>
  <Lines>51</Lines>
  <Paragraphs>14</Paragraphs>
  <TotalTime>604</TotalTime>
  <ScaleCrop>false</ScaleCrop>
  <LinksUpToDate>false</LinksUpToDate>
  <CharactersWithSpaces>2860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2024-09-11T02:54:00Z</dcterms:created>
  <dc:creator>Hui</dc:creator>
  <dc:description>&lt;config cover="true" show_menu="true" version="1.0.0" doctype="SDKXY"&gt;_x000d_
&lt;/config&gt;</dc:description>
  <cp:lastModifiedBy>mmme</cp:lastModifiedBy>
  <cp:lastPrinted>2024-11-06T09:23:00Z</cp:lastPrinted>
  <dcterms:modified xsi:type="dcterms:W3CDTF">2024-11-07T01:54:06Z</dcterms:modified>
  <dc:title>地方标准</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F38AE54E364647FCA486505601EE747A_12</vt:lpwstr>
  </property>
</Properties>
</file>